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3E272" w14:textId="1DAC900A" w:rsidR="00AE0F1A" w:rsidRPr="00AE7E9B" w:rsidRDefault="00AE0F1A" w:rsidP="00AE0F1A">
      <w:pPr>
        <w:spacing w:afterLines="120" w:after="288" w:line="312" w:lineRule="auto"/>
        <w:jc w:val="center"/>
        <w:rPr>
          <w:rFonts w:ascii="Arial" w:hAnsi="Arial" w:cs="Arial"/>
          <w:color w:val="000000" w:themeColor="text1"/>
          <w:sz w:val="20"/>
          <w:szCs w:val="20"/>
          <w:lang w:eastAsia="en-US"/>
        </w:rPr>
      </w:pPr>
      <w:r w:rsidRPr="00AE7E9B">
        <w:rPr>
          <w:rFonts w:ascii="Arial" w:hAnsi="Arial" w:cs="Arial"/>
          <w:color w:val="000000" w:themeColor="text1"/>
          <w:sz w:val="20"/>
          <w:szCs w:val="20"/>
          <w:lang w:eastAsia="en-US"/>
        </w:rPr>
        <w:br/>
        <w:t>Ata de Registro de Preços nº &lt;=</w:t>
      </w:r>
      <w:proofErr w:type="spellStart"/>
      <w:r w:rsidRPr="00AE7E9B">
        <w:rPr>
          <w:rFonts w:ascii="Arial" w:hAnsi="Arial" w:cs="Arial"/>
          <w:color w:val="000000" w:themeColor="text1"/>
          <w:sz w:val="20"/>
          <w:szCs w:val="20"/>
          <w:lang w:eastAsia="en-US"/>
        </w:rPr>
        <w:t>contrato_numero</w:t>
      </w:r>
      <w:proofErr w:type="spellEnd"/>
      <w:r w:rsidRPr="00AE7E9B">
        <w:rPr>
          <w:rFonts w:ascii="Arial" w:hAnsi="Arial" w:cs="Arial"/>
          <w:color w:val="000000" w:themeColor="text1"/>
          <w:sz w:val="20"/>
          <w:szCs w:val="20"/>
          <w:lang w:eastAsia="en-US"/>
        </w:rPr>
        <w:t>&gt;/&lt;=</w:t>
      </w:r>
      <w:proofErr w:type="spellStart"/>
      <w:r w:rsidRPr="00AE7E9B">
        <w:rPr>
          <w:rFonts w:ascii="Arial" w:hAnsi="Arial" w:cs="Arial"/>
          <w:color w:val="000000" w:themeColor="text1"/>
          <w:sz w:val="20"/>
          <w:szCs w:val="20"/>
          <w:lang w:eastAsia="en-US"/>
        </w:rPr>
        <w:t>contrato_ano</w:t>
      </w:r>
      <w:proofErr w:type="spellEnd"/>
      <w:r w:rsidRPr="00AE7E9B">
        <w:rPr>
          <w:rFonts w:ascii="Arial" w:hAnsi="Arial" w:cs="Arial"/>
          <w:color w:val="000000" w:themeColor="text1"/>
          <w:sz w:val="20"/>
          <w:szCs w:val="20"/>
          <w:lang w:eastAsia="en-US"/>
        </w:rPr>
        <w:t>&gt;</w:t>
      </w:r>
    </w:p>
    <w:p w14:paraId="7233116B" w14:textId="58733F0A" w:rsidR="00AE0F1A" w:rsidRPr="00AE7E9B" w:rsidRDefault="00AE0F1A" w:rsidP="00AE0F1A">
      <w:pPr>
        <w:tabs>
          <w:tab w:val="center" w:pos="4779"/>
          <w:tab w:val="right" w:pos="9198"/>
        </w:tabs>
        <w:autoSpaceDE w:val="0"/>
        <w:autoSpaceDN w:val="0"/>
        <w:adjustRightInd w:val="0"/>
        <w:spacing w:before="120" w:after="120" w:line="276" w:lineRule="auto"/>
        <w:ind w:right="-28" w:firstLine="1418"/>
        <w:jc w:val="both"/>
        <w:rPr>
          <w:rFonts w:ascii="Arial" w:hAnsi="Arial" w:cs="Arial"/>
          <w:color w:val="000000" w:themeColor="text1"/>
          <w:sz w:val="20"/>
          <w:szCs w:val="20"/>
        </w:rPr>
      </w:pPr>
      <w:r w:rsidRPr="00AE7E9B">
        <w:rPr>
          <w:rFonts w:ascii="Arial" w:hAnsi="Arial" w:cs="Arial"/>
          <w:color w:val="000000" w:themeColor="text1"/>
          <w:sz w:val="20"/>
          <w:szCs w:val="20"/>
        </w:rPr>
        <w:t xml:space="preserve">A </w:t>
      </w:r>
      <w:r w:rsidRPr="00AE7E9B">
        <w:rPr>
          <w:rFonts w:ascii="Arial" w:hAnsi="Arial" w:cs="Arial"/>
          <w:iCs/>
          <w:color w:val="000000" w:themeColor="text1"/>
          <w:sz w:val="20"/>
          <w:szCs w:val="20"/>
        </w:rPr>
        <w:t>Prefeitura de Sapucaia do Sul</w:t>
      </w:r>
      <w:r w:rsidRPr="00AE7E9B">
        <w:rPr>
          <w:rFonts w:ascii="Arial" w:hAnsi="Arial" w:cs="Arial"/>
          <w:color w:val="000000" w:themeColor="text1"/>
          <w:sz w:val="20"/>
          <w:szCs w:val="20"/>
        </w:rPr>
        <w:t xml:space="preserve">, </w:t>
      </w:r>
      <w:r w:rsidRPr="00AE7E9B">
        <w:rPr>
          <w:rFonts w:ascii="Arial" w:eastAsia="Arial" w:hAnsi="Arial" w:cs="Arial"/>
          <w:color w:val="000000" w:themeColor="text1"/>
          <w:sz w:val="20"/>
          <w:szCs w:val="20"/>
        </w:rPr>
        <w:t xml:space="preserve">com sede na Av. Leônidas de Souza, 1289 - Santa Catarina, na cidade de Sapucaia do Sul/RS, inscrita no CNPJ sob o nº 88.185.020/0001-25, neste ato representada pelo Secretário Municipal de Administração - Mateus Santos Gomes de Freitas, nomeado pela Portaria nº 331, de </w:t>
      </w:r>
      <w:r w:rsidRPr="00AE7E9B">
        <w:rPr>
          <w:rFonts w:ascii="Arial" w:eastAsia="Arial" w:hAnsi="Arial" w:cs="Arial"/>
          <w:iCs/>
          <w:color w:val="000000" w:themeColor="text1"/>
          <w:sz w:val="20"/>
          <w:szCs w:val="20"/>
        </w:rPr>
        <w:t>02</w:t>
      </w:r>
      <w:r w:rsidRPr="00AE7E9B">
        <w:rPr>
          <w:rFonts w:ascii="Arial" w:eastAsia="Arial" w:hAnsi="Arial" w:cs="Arial"/>
          <w:color w:val="000000" w:themeColor="text1"/>
          <w:sz w:val="20"/>
          <w:szCs w:val="20"/>
        </w:rPr>
        <w:t xml:space="preserve"> de abril de 2024, publicada no</w:t>
      </w:r>
      <w:r w:rsidRPr="00AE7E9B">
        <w:rPr>
          <w:rFonts w:ascii="Arial" w:eastAsia="Arial" w:hAnsi="Arial" w:cs="Arial"/>
          <w:iCs/>
          <w:color w:val="000000" w:themeColor="text1"/>
          <w:sz w:val="20"/>
          <w:szCs w:val="20"/>
        </w:rPr>
        <w:t xml:space="preserve"> Sistema Leis Municipais </w:t>
      </w:r>
      <w:r w:rsidRPr="00AE7E9B">
        <w:rPr>
          <w:rFonts w:ascii="Arial" w:eastAsia="Arial" w:hAnsi="Arial" w:cs="Arial"/>
          <w:color w:val="000000" w:themeColor="text1"/>
          <w:sz w:val="20"/>
          <w:szCs w:val="20"/>
        </w:rPr>
        <w:t>em 08 de abril</w:t>
      </w:r>
      <w:r w:rsidRPr="00AE7E9B">
        <w:rPr>
          <w:rFonts w:ascii="Arial" w:hAnsi="Arial"/>
          <w:color w:val="000000" w:themeColor="text1"/>
          <w:sz w:val="20"/>
        </w:rPr>
        <w:t xml:space="preserve"> </w:t>
      </w:r>
      <w:r w:rsidRPr="00AE7E9B">
        <w:rPr>
          <w:rFonts w:ascii="Arial" w:eastAsia="Arial" w:hAnsi="Arial" w:cs="Arial"/>
          <w:color w:val="000000" w:themeColor="text1"/>
          <w:sz w:val="20"/>
          <w:szCs w:val="20"/>
        </w:rPr>
        <w:t xml:space="preserve">de </w:t>
      </w:r>
      <w:r w:rsidRPr="00AE7E9B">
        <w:rPr>
          <w:rFonts w:ascii="Arial" w:eastAsia="Arial" w:hAnsi="Arial" w:cs="Arial"/>
          <w:iCs/>
          <w:color w:val="000000" w:themeColor="text1"/>
          <w:sz w:val="20"/>
          <w:szCs w:val="20"/>
        </w:rPr>
        <w:t>2024</w:t>
      </w:r>
      <w:r w:rsidRPr="00AE7E9B">
        <w:rPr>
          <w:rFonts w:ascii="Arial" w:eastAsia="Arial" w:hAnsi="Arial" w:cs="Arial"/>
          <w:color w:val="000000" w:themeColor="text1"/>
          <w:sz w:val="20"/>
          <w:szCs w:val="20"/>
        </w:rPr>
        <w:t xml:space="preserve">, portador da Matrícula Funcional nº </w:t>
      </w:r>
      <w:r w:rsidRPr="00AE7E9B">
        <w:rPr>
          <w:rFonts w:ascii="Arial" w:eastAsia="Arial" w:hAnsi="Arial" w:cs="Arial"/>
          <w:iCs/>
          <w:color w:val="000000" w:themeColor="text1"/>
          <w:sz w:val="20"/>
          <w:szCs w:val="20"/>
        </w:rPr>
        <w:t>93564-1</w:t>
      </w:r>
      <w:r w:rsidRPr="00AE7E9B">
        <w:rPr>
          <w:rFonts w:ascii="Arial" w:eastAsia="Arial" w:hAnsi="Arial" w:cs="Arial"/>
          <w:color w:val="000000" w:themeColor="text1"/>
          <w:sz w:val="20"/>
          <w:szCs w:val="20"/>
        </w:rPr>
        <w:t>,</w:t>
      </w:r>
      <w:r w:rsidRPr="00AE7E9B">
        <w:rPr>
          <w:rFonts w:ascii="Arial" w:hAnsi="Arial" w:cs="Arial"/>
          <w:color w:val="000000" w:themeColor="text1"/>
          <w:sz w:val="20"/>
          <w:szCs w:val="20"/>
        </w:rPr>
        <w:t xml:space="preserve"> considerando o julgamento da </w:t>
      </w:r>
      <w:r w:rsidRPr="00AE7E9B">
        <w:rPr>
          <w:rFonts w:ascii="Arial" w:hAnsi="Arial" w:cs="Arial"/>
          <w:iCs/>
          <w:color w:val="000000" w:themeColor="text1"/>
          <w:sz w:val="20"/>
          <w:szCs w:val="20"/>
        </w:rPr>
        <w:t xml:space="preserve">licitação na modalidade de </w:t>
      </w:r>
      <w:r w:rsidRPr="00AE7E9B">
        <w:rPr>
          <w:rFonts w:ascii="Arial" w:hAnsi="Arial" w:cs="Arial"/>
          <w:color w:val="000000" w:themeColor="text1"/>
          <w:sz w:val="20"/>
          <w:szCs w:val="20"/>
          <w:lang w:eastAsia="en-US"/>
        </w:rPr>
        <w:t>&lt;=</w:t>
      </w:r>
      <w:proofErr w:type="spellStart"/>
      <w:r w:rsidRPr="00AE7E9B">
        <w:rPr>
          <w:rFonts w:ascii="Arial" w:hAnsi="Arial" w:cs="Arial"/>
          <w:color w:val="000000" w:themeColor="text1"/>
          <w:sz w:val="20"/>
          <w:szCs w:val="20"/>
          <w:lang w:eastAsia="en-US"/>
        </w:rPr>
        <w:t>contrato_licitacao_modalidade</w:t>
      </w:r>
      <w:proofErr w:type="spellEnd"/>
      <w:r w:rsidRPr="00AE7E9B">
        <w:rPr>
          <w:rFonts w:ascii="Arial" w:hAnsi="Arial" w:cs="Arial"/>
          <w:color w:val="000000" w:themeColor="text1"/>
          <w:sz w:val="20"/>
          <w:szCs w:val="20"/>
          <w:lang w:eastAsia="en-US"/>
        </w:rPr>
        <w:t>&gt;</w:t>
      </w:r>
      <w:r w:rsidRPr="00AE7E9B">
        <w:rPr>
          <w:rFonts w:ascii="Arial" w:hAnsi="Arial" w:cs="Arial"/>
          <w:color w:val="000000" w:themeColor="text1"/>
          <w:sz w:val="20"/>
          <w:szCs w:val="20"/>
        </w:rPr>
        <w:t>, para REGISTRO DE PREÇOS &lt;=</w:t>
      </w:r>
      <w:proofErr w:type="spellStart"/>
      <w:r w:rsidRPr="00AE7E9B">
        <w:rPr>
          <w:rFonts w:ascii="Arial" w:hAnsi="Arial" w:cs="Arial"/>
          <w:color w:val="000000" w:themeColor="text1"/>
          <w:sz w:val="20"/>
          <w:szCs w:val="20"/>
        </w:rPr>
        <w:t>contrato_licitacao_numero</w:t>
      </w:r>
      <w:proofErr w:type="spellEnd"/>
      <w:r w:rsidRPr="00AE7E9B">
        <w:rPr>
          <w:rFonts w:ascii="Arial" w:hAnsi="Arial" w:cs="Arial"/>
          <w:color w:val="000000" w:themeColor="text1"/>
          <w:sz w:val="20"/>
          <w:szCs w:val="20"/>
        </w:rPr>
        <w:t>&gt;/&lt;=</w:t>
      </w:r>
      <w:proofErr w:type="spellStart"/>
      <w:r w:rsidRPr="00AE7E9B">
        <w:rPr>
          <w:rFonts w:ascii="Arial" w:hAnsi="Arial" w:cs="Arial"/>
          <w:color w:val="000000" w:themeColor="text1"/>
          <w:sz w:val="20"/>
          <w:szCs w:val="20"/>
        </w:rPr>
        <w:t>contrato_licitacao_ano</w:t>
      </w:r>
      <w:proofErr w:type="spellEnd"/>
      <w:r w:rsidRPr="00AE7E9B">
        <w:rPr>
          <w:rFonts w:ascii="Arial" w:hAnsi="Arial" w:cs="Arial"/>
          <w:color w:val="000000" w:themeColor="text1"/>
          <w:sz w:val="20"/>
          <w:szCs w:val="20"/>
        </w:rPr>
        <w:t>&gt;, RESOLVE registrar os preços da &lt;</w:t>
      </w:r>
      <w:r w:rsidR="00AE17CF" w:rsidRPr="00AE7E9B">
        <w:rPr>
          <w:rFonts w:ascii="Arial" w:hAnsi="Arial" w:cs="Arial"/>
          <w:color w:val="000000" w:themeColor="text1"/>
          <w:sz w:val="20"/>
          <w:szCs w:val="20"/>
        </w:rPr>
        <w:t>=</w:t>
      </w:r>
      <w:proofErr w:type="spellStart"/>
      <w:r w:rsidRPr="00AE7E9B">
        <w:rPr>
          <w:rFonts w:ascii="Arial" w:hAnsi="Arial" w:cs="Arial"/>
          <w:color w:val="000000" w:themeColor="text1"/>
          <w:sz w:val="20"/>
          <w:szCs w:val="20"/>
        </w:rPr>
        <w:t>contrato_fornecedor_nome</w:t>
      </w:r>
      <w:proofErr w:type="spellEnd"/>
      <w:r w:rsidRPr="00AE7E9B">
        <w:rPr>
          <w:rFonts w:ascii="Arial" w:hAnsi="Arial" w:cs="Arial"/>
          <w:color w:val="000000" w:themeColor="text1"/>
          <w:sz w:val="20"/>
          <w:szCs w:val="20"/>
        </w:rPr>
        <w:t>&gt;, inscrito(a) no CNPJ sob o n° &lt;=</w:t>
      </w:r>
      <w:proofErr w:type="spellStart"/>
      <w:r w:rsidRPr="00AE7E9B">
        <w:rPr>
          <w:rFonts w:ascii="Arial" w:hAnsi="Arial" w:cs="Arial"/>
          <w:color w:val="000000" w:themeColor="text1"/>
          <w:sz w:val="20"/>
          <w:szCs w:val="20"/>
        </w:rPr>
        <w:t>contrato_fornecedor_cnpj_cpf</w:t>
      </w:r>
      <w:proofErr w:type="spellEnd"/>
      <w:r w:rsidRPr="00AE7E9B">
        <w:rPr>
          <w:rFonts w:ascii="Arial" w:hAnsi="Arial" w:cs="Arial"/>
          <w:color w:val="000000" w:themeColor="text1"/>
          <w:sz w:val="20"/>
          <w:szCs w:val="20"/>
        </w:rPr>
        <w:t xml:space="preserve">&gt; nesta ATA, de acordo com a classificação por ela alcançada e na quantidade cotada, atendendo as condições previstas no </w:t>
      </w:r>
      <w:r w:rsidRPr="00AE7E9B">
        <w:rPr>
          <w:rFonts w:ascii="Arial" w:hAnsi="Arial" w:cs="Arial"/>
          <w:iCs/>
          <w:color w:val="000000" w:themeColor="text1"/>
          <w:sz w:val="20"/>
          <w:szCs w:val="20"/>
        </w:rPr>
        <w:t>Edital de Licitação ou Aviso de Contratação Direta</w:t>
      </w:r>
      <w:r w:rsidRPr="00AE7E9B">
        <w:rPr>
          <w:rFonts w:ascii="Arial" w:hAnsi="Arial" w:cs="Arial"/>
          <w:color w:val="000000" w:themeColor="text1"/>
          <w:sz w:val="20"/>
          <w:szCs w:val="20"/>
        </w:rPr>
        <w:t>, sujeitando-se as partes às normas constantes na Lei nº 14.133, de 1º de abril de 2021, no Decreto n.º 11.462, de 31 de março de 2023, e em conformidade com as disposições a seguir:</w:t>
      </w:r>
    </w:p>
    <w:p w14:paraId="2C302631" w14:textId="77777777" w:rsidR="00AE0F1A" w:rsidRPr="00AE7E9B" w:rsidRDefault="00AE0F1A" w:rsidP="00AE0F1A">
      <w:pPr>
        <w:pStyle w:val="Nivel01"/>
        <w:tabs>
          <w:tab w:val="clear" w:pos="567"/>
          <w:tab w:val="left" w:pos="284"/>
        </w:tabs>
        <w:rPr>
          <w:color w:val="000000" w:themeColor="text1"/>
        </w:rPr>
      </w:pPr>
      <w:r w:rsidRPr="00AE7E9B">
        <w:rPr>
          <w:color w:val="000000" w:themeColor="text1"/>
        </w:rPr>
        <w:t>DO OBJETO</w:t>
      </w:r>
    </w:p>
    <w:p w14:paraId="4E35E411" w14:textId="77777777" w:rsidR="00AE0F1A" w:rsidRPr="00AE7E9B" w:rsidRDefault="00AE0F1A" w:rsidP="00AE0F1A">
      <w:pPr>
        <w:pStyle w:val="Nivel2"/>
        <w:ind w:left="0"/>
        <w:rPr>
          <w:color w:val="000000" w:themeColor="text1"/>
        </w:rPr>
      </w:pPr>
      <w:r w:rsidRPr="00AE7E9B">
        <w:rPr>
          <w:color w:val="000000" w:themeColor="text1"/>
        </w:rPr>
        <w:t>A presente Ata tem por objeto o registro de preços para a eventual contratação de &lt;=</w:t>
      </w:r>
      <w:proofErr w:type="spellStart"/>
      <w:r w:rsidRPr="00AE7E9B">
        <w:rPr>
          <w:color w:val="000000" w:themeColor="text1"/>
        </w:rPr>
        <w:t>contrato_licitacao_objeto_obs</w:t>
      </w:r>
      <w:proofErr w:type="spellEnd"/>
      <w:r w:rsidRPr="00AE7E9B">
        <w:rPr>
          <w:color w:val="000000" w:themeColor="text1"/>
        </w:rPr>
        <w:t xml:space="preserve">&gt;, especificado(s) no Termo de Referência, anexo </w:t>
      </w:r>
      <w:r w:rsidRPr="00AE7E9B">
        <w:rPr>
          <w:iCs/>
          <w:color w:val="000000" w:themeColor="text1"/>
        </w:rPr>
        <w:t>II</w:t>
      </w:r>
      <w:r w:rsidRPr="00AE7E9B">
        <w:rPr>
          <w:i/>
          <w:iCs/>
          <w:color w:val="000000" w:themeColor="text1"/>
        </w:rPr>
        <w:t xml:space="preserve"> </w:t>
      </w:r>
      <w:r w:rsidRPr="00AE7E9B">
        <w:rPr>
          <w:iCs/>
          <w:color w:val="000000" w:themeColor="text1"/>
        </w:rPr>
        <w:t>do</w:t>
      </w:r>
      <w:r w:rsidRPr="00AE7E9B">
        <w:rPr>
          <w:i/>
          <w:color w:val="000000" w:themeColor="text1"/>
        </w:rPr>
        <w:t xml:space="preserve"> </w:t>
      </w:r>
      <w:r w:rsidRPr="00AE7E9B">
        <w:rPr>
          <w:color w:val="000000" w:themeColor="text1"/>
        </w:rPr>
        <w:t>Edital de Licitação ou Aviso de Contratação Direta de licitação</w:t>
      </w:r>
      <w:r w:rsidRPr="00AE7E9B">
        <w:rPr>
          <w:i/>
          <w:color w:val="000000" w:themeColor="text1"/>
        </w:rPr>
        <w:t xml:space="preserve"> </w:t>
      </w:r>
      <w:r w:rsidRPr="00AE7E9B">
        <w:rPr>
          <w:color w:val="000000" w:themeColor="text1"/>
        </w:rPr>
        <w:t>n.º &lt;=</w:t>
      </w:r>
      <w:proofErr w:type="spellStart"/>
      <w:r w:rsidRPr="00AE7E9B">
        <w:rPr>
          <w:color w:val="000000" w:themeColor="text1"/>
        </w:rPr>
        <w:t>contrato_licitacao_numero</w:t>
      </w:r>
      <w:proofErr w:type="spellEnd"/>
      <w:r w:rsidRPr="00AE7E9B">
        <w:rPr>
          <w:color w:val="000000" w:themeColor="text1"/>
        </w:rPr>
        <w:t>&gt;/&lt;=</w:t>
      </w:r>
      <w:proofErr w:type="spellStart"/>
      <w:r w:rsidRPr="00AE7E9B">
        <w:rPr>
          <w:color w:val="000000" w:themeColor="text1"/>
        </w:rPr>
        <w:t>contrato_licitacao_ano</w:t>
      </w:r>
      <w:proofErr w:type="spellEnd"/>
      <w:r w:rsidRPr="00AE7E9B">
        <w:rPr>
          <w:color w:val="000000" w:themeColor="text1"/>
        </w:rPr>
        <w:t>&gt;, que é parte integrante desta Ata, assim como as propostas cujos preços tenham sido registrados, independentemente de transcrição.</w:t>
      </w:r>
    </w:p>
    <w:p w14:paraId="047B37D9" w14:textId="77777777" w:rsidR="00AE0F1A" w:rsidRPr="00AE7E9B" w:rsidRDefault="00AE0F1A" w:rsidP="00AE0F1A">
      <w:pPr>
        <w:pStyle w:val="Nivel01"/>
        <w:tabs>
          <w:tab w:val="clear" w:pos="567"/>
          <w:tab w:val="left" w:pos="284"/>
        </w:tabs>
        <w:rPr>
          <w:color w:val="000000" w:themeColor="text1"/>
        </w:rPr>
      </w:pPr>
      <w:r w:rsidRPr="00AE7E9B">
        <w:rPr>
          <w:color w:val="000000" w:themeColor="text1"/>
        </w:rPr>
        <w:t>DOS PREÇOS, ESPECIFICAÇÕES E QUANTITATIVOS</w:t>
      </w:r>
    </w:p>
    <w:p w14:paraId="061A20E1" w14:textId="6ABB54FB" w:rsidR="00AE0F1A" w:rsidRPr="00AE7E9B" w:rsidRDefault="00AE0F1A" w:rsidP="00AE0F1A">
      <w:pPr>
        <w:pStyle w:val="Nivel2"/>
        <w:ind w:left="0"/>
        <w:rPr>
          <w:color w:val="000000" w:themeColor="text1"/>
        </w:rPr>
      </w:pPr>
      <w:r w:rsidRPr="00AE7E9B">
        <w:rPr>
          <w:color w:val="000000" w:themeColor="text1"/>
        </w:rPr>
        <w:t>O valor Global desta ATA é de R$ &lt;=</w:t>
      </w:r>
      <w:proofErr w:type="spellStart"/>
      <w:r w:rsidRPr="00AE7E9B">
        <w:rPr>
          <w:color w:val="000000" w:themeColor="text1"/>
        </w:rPr>
        <w:t>contrato_valor_total</w:t>
      </w:r>
      <w:proofErr w:type="spellEnd"/>
      <w:r w:rsidRPr="00AE7E9B">
        <w:rPr>
          <w:color w:val="000000" w:themeColor="text1"/>
        </w:rPr>
        <w:t>&gt;</w:t>
      </w:r>
      <w:r w:rsidR="00AE7E9B">
        <w:rPr>
          <w:color w:val="000000" w:themeColor="text1"/>
        </w:rPr>
        <w:t>.</w:t>
      </w:r>
    </w:p>
    <w:p w14:paraId="336C0F30" w14:textId="77777777" w:rsidR="00AE0F1A" w:rsidRPr="00AE7E9B" w:rsidRDefault="00AE0F1A" w:rsidP="00AE0F1A">
      <w:pPr>
        <w:pStyle w:val="Nivel2"/>
        <w:ind w:left="0"/>
        <w:rPr>
          <w:color w:val="000000" w:themeColor="text1"/>
        </w:rPr>
      </w:pPr>
      <w:r w:rsidRPr="00AE7E9B">
        <w:rPr>
          <w:color w:val="000000" w:themeColor="text1"/>
        </w:rPr>
        <w:t xml:space="preserve">O preço registrado, as especificações do objeto, a quantidade de cada item, fornecedor e as demais condições ofertadas na proposta são as que seguem: </w:t>
      </w:r>
    </w:p>
    <w:p w14:paraId="538F67CC" w14:textId="77777777" w:rsidR="00AE0F1A" w:rsidRPr="00AE7E9B" w:rsidRDefault="00AE0F1A" w:rsidP="00AE0F1A">
      <w:pPr>
        <w:pStyle w:val="Nivel01"/>
        <w:numPr>
          <w:ilvl w:val="0"/>
          <w:numId w:val="0"/>
        </w:numPr>
        <w:ind w:left="360"/>
        <w:rPr>
          <w:rFonts w:eastAsia="Times New Roman"/>
          <w:b w:val="0"/>
          <w:color w:val="000000" w:themeColor="text1"/>
        </w:rPr>
      </w:pPr>
    </w:p>
    <w:p w14:paraId="3F8DE243" w14:textId="77777777" w:rsidR="00AE0F1A" w:rsidRPr="00AE7E9B" w:rsidRDefault="00AE0F1A" w:rsidP="00AE0F1A">
      <w:pPr>
        <w:pStyle w:val="Nivel01"/>
        <w:numPr>
          <w:ilvl w:val="0"/>
          <w:numId w:val="0"/>
        </w:numPr>
        <w:ind w:hanging="567"/>
        <w:rPr>
          <w:rFonts w:eastAsia="Helvetica"/>
          <w:b w:val="0"/>
          <w:color w:val="000000" w:themeColor="text1"/>
          <w:shd w:val="clear" w:color="auto" w:fill="DBEDB2"/>
        </w:rPr>
      </w:pPr>
      <w:r w:rsidRPr="00AE7E9B">
        <w:rPr>
          <w:rFonts w:eastAsia="Helvetica"/>
          <w:b w:val="0"/>
          <w:color w:val="000000" w:themeColor="text1"/>
          <w:shd w:val="clear" w:color="auto" w:fill="DBEDB2"/>
        </w:rPr>
        <w:t>&lt;=</w:t>
      </w:r>
      <w:proofErr w:type="spellStart"/>
      <w:r w:rsidRPr="00AE7E9B">
        <w:rPr>
          <w:rFonts w:eastAsia="Helvetica"/>
          <w:b w:val="0"/>
          <w:color w:val="000000" w:themeColor="text1"/>
          <w:shd w:val="clear" w:color="auto" w:fill="DBEDB2"/>
        </w:rPr>
        <w:t>contrato_fornecedor_itens</w:t>
      </w:r>
      <w:proofErr w:type="spellEnd"/>
      <w:r w:rsidRPr="00AE7E9B">
        <w:rPr>
          <w:rFonts w:eastAsia="Helvetica"/>
          <w:b w:val="0"/>
          <w:color w:val="000000" w:themeColor="text1"/>
          <w:shd w:val="clear" w:color="auto" w:fill="DBEDB2"/>
        </w:rPr>
        <w:t>&gt;</w:t>
      </w:r>
    </w:p>
    <w:p w14:paraId="412E066C" w14:textId="77777777" w:rsidR="00AE0F1A" w:rsidRPr="00AE7E9B" w:rsidRDefault="00AE0F1A" w:rsidP="00AE0F1A">
      <w:pPr>
        <w:rPr>
          <w:color w:val="000000" w:themeColor="text1"/>
          <w:lang w:eastAsia="en-US"/>
        </w:rPr>
      </w:pPr>
    </w:p>
    <w:p w14:paraId="1DB92E29" w14:textId="77777777" w:rsidR="00AE0F1A" w:rsidRPr="00AE7E9B" w:rsidRDefault="00AE0F1A" w:rsidP="00AE0F1A">
      <w:pPr>
        <w:pStyle w:val="Nivel2"/>
        <w:ind w:left="0"/>
        <w:rPr>
          <w:color w:val="000000" w:themeColor="text1"/>
          <w:lang w:eastAsia="en-US"/>
        </w:rPr>
      </w:pPr>
      <w:r w:rsidRPr="00AE7E9B">
        <w:rPr>
          <w:color w:val="000000" w:themeColor="text1"/>
          <w:lang w:eastAsia="en-US"/>
        </w:rPr>
        <w:t>A listagem do cadastro de reserva referente ao presente registro de preços consta como anexo a esta Ata.</w:t>
      </w:r>
    </w:p>
    <w:p w14:paraId="642C94F6" w14:textId="77777777" w:rsidR="00AE0F1A" w:rsidRPr="00AE7E9B" w:rsidRDefault="00AE0F1A" w:rsidP="00AE0F1A">
      <w:pPr>
        <w:pStyle w:val="Nivel01"/>
        <w:tabs>
          <w:tab w:val="clear" w:pos="567"/>
          <w:tab w:val="left" w:pos="284"/>
        </w:tabs>
        <w:rPr>
          <w:color w:val="000000" w:themeColor="text1"/>
        </w:rPr>
      </w:pPr>
      <w:r w:rsidRPr="00AE7E9B">
        <w:rPr>
          <w:color w:val="000000" w:themeColor="text1"/>
        </w:rPr>
        <w:t>ÓRGÃO(S) GERENCIADOR E PARTICIPANTE(S)</w:t>
      </w:r>
    </w:p>
    <w:p w14:paraId="1D5B98CE" w14:textId="77777777" w:rsidR="00AE0F1A" w:rsidRPr="00AE7E9B" w:rsidRDefault="00AE0F1A" w:rsidP="00AE0F1A">
      <w:pPr>
        <w:pStyle w:val="Nivel2"/>
        <w:ind w:left="0"/>
        <w:rPr>
          <w:color w:val="000000" w:themeColor="text1"/>
        </w:rPr>
      </w:pPr>
      <w:r w:rsidRPr="00AE7E9B">
        <w:rPr>
          <w:color w:val="000000" w:themeColor="text1"/>
        </w:rPr>
        <w:t>O órgão gerenciador será a Prefeitura Municipal de Sapucaia do Sul.</w:t>
      </w:r>
    </w:p>
    <w:p w14:paraId="5E01DED7" w14:textId="77777777" w:rsidR="00AE0F1A" w:rsidRPr="00AE7E9B" w:rsidRDefault="00AE0F1A" w:rsidP="00AE0F1A">
      <w:pPr>
        <w:pStyle w:val="Nvel2-Red"/>
        <w:ind w:left="0"/>
        <w:rPr>
          <w:i w:val="0"/>
          <w:color w:val="000000" w:themeColor="text1"/>
        </w:rPr>
      </w:pPr>
      <w:r w:rsidRPr="00AE7E9B">
        <w:rPr>
          <w:i w:val="0"/>
          <w:color w:val="000000" w:themeColor="text1"/>
        </w:rPr>
        <w:t>Além do gerenciador, não há órgãos e entidades públicas participantes do registro de preços.</w:t>
      </w:r>
    </w:p>
    <w:p w14:paraId="08CECD4E" w14:textId="77777777" w:rsidR="00AE0F1A" w:rsidRPr="00AE7E9B" w:rsidRDefault="00AE0F1A" w:rsidP="00AE0F1A">
      <w:pPr>
        <w:pStyle w:val="Nivel01"/>
        <w:tabs>
          <w:tab w:val="clear" w:pos="567"/>
          <w:tab w:val="left" w:pos="284"/>
        </w:tabs>
        <w:rPr>
          <w:color w:val="000000" w:themeColor="text1"/>
        </w:rPr>
      </w:pPr>
      <w:r w:rsidRPr="00AE7E9B">
        <w:rPr>
          <w:color w:val="000000" w:themeColor="text1"/>
        </w:rPr>
        <w:lastRenderedPageBreak/>
        <w:t xml:space="preserve">DA ADESÃO À ATA DE REGISTRO DE PREÇOS </w:t>
      </w:r>
    </w:p>
    <w:p w14:paraId="00A6CBBB" w14:textId="77777777" w:rsidR="00AE0F1A" w:rsidRPr="00AE7E9B" w:rsidRDefault="00AE0F1A" w:rsidP="00AE0F1A">
      <w:pPr>
        <w:pStyle w:val="Nivel2"/>
        <w:ind w:left="0"/>
        <w:rPr>
          <w:color w:val="000000" w:themeColor="text1"/>
        </w:rPr>
      </w:pPr>
      <w:r w:rsidRPr="00AE7E9B">
        <w:rPr>
          <w:color w:val="000000" w:themeColor="text1"/>
        </w:rPr>
        <w:t>Durante a vigência da ata, os órgãos e as entidades da Administração Pública federal, estadual, distrital e municipal que não participaram do procedimento de IRP poderão aderir à ata de registro de preços na condição de não participantes, observados os seguintes requisitos:</w:t>
      </w:r>
    </w:p>
    <w:p w14:paraId="19E286B9" w14:textId="77777777" w:rsidR="00AE0F1A" w:rsidRPr="00AE7E9B" w:rsidRDefault="00AE0F1A" w:rsidP="00AE0F1A">
      <w:pPr>
        <w:pStyle w:val="Nvel3-R"/>
        <w:ind w:left="567"/>
        <w:rPr>
          <w:i w:val="0"/>
          <w:color w:val="000000" w:themeColor="text1"/>
        </w:rPr>
      </w:pPr>
      <w:r w:rsidRPr="00AE7E9B">
        <w:rPr>
          <w:i w:val="0"/>
          <w:color w:val="000000" w:themeColor="text1"/>
        </w:rPr>
        <w:t>apresentação de justificativa da vantagem da adesão, inclusive em situações de provável desabastecimento ou descontinuidade de serviço público;</w:t>
      </w:r>
    </w:p>
    <w:p w14:paraId="22572D1E" w14:textId="77777777" w:rsidR="00AE0F1A" w:rsidRPr="00AE7E9B" w:rsidRDefault="00AE0F1A" w:rsidP="00AE0F1A">
      <w:pPr>
        <w:pStyle w:val="Nvel3-R"/>
        <w:ind w:left="567"/>
        <w:rPr>
          <w:i w:val="0"/>
          <w:color w:val="000000" w:themeColor="text1"/>
        </w:rPr>
      </w:pPr>
      <w:r w:rsidRPr="00AE7E9B">
        <w:rPr>
          <w:i w:val="0"/>
          <w:color w:val="000000" w:themeColor="text1"/>
        </w:rPr>
        <w:t>demonstração de que os valores registrados estão compatíveis com os valores praticados pelo mercado na forma do art. 23 da Lei nº 14.133, de 2021; e</w:t>
      </w:r>
    </w:p>
    <w:p w14:paraId="056AA8F0" w14:textId="77777777" w:rsidR="00AE0F1A" w:rsidRPr="00AE7E9B" w:rsidRDefault="00AE0F1A" w:rsidP="00AE0F1A">
      <w:pPr>
        <w:pStyle w:val="Nvel3-R"/>
        <w:ind w:left="567"/>
        <w:rPr>
          <w:i w:val="0"/>
          <w:color w:val="000000" w:themeColor="text1"/>
        </w:rPr>
      </w:pPr>
      <w:r w:rsidRPr="00AE7E9B">
        <w:rPr>
          <w:i w:val="0"/>
          <w:color w:val="000000" w:themeColor="text1"/>
        </w:rPr>
        <w:t>consulta e aceitação prévias do órgão ou da entidade gerenciadora e do fornecedor.</w:t>
      </w:r>
    </w:p>
    <w:p w14:paraId="67DFB087" w14:textId="77777777" w:rsidR="00AE0F1A" w:rsidRPr="00AE7E9B" w:rsidRDefault="00AE0F1A" w:rsidP="00AE0F1A">
      <w:pPr>
        <w:pStyle w:val="Nivel2"/>
        <w:ind w:left="0"/>
        <w:rPr>
          <w:color w:val="000000" w:themeColor="text1"/>
        </w:rPr>
      </w:pPr>
      <w:r w:rsidRPr="00AE7E9B">
        <w:rPr>
          <w:color w:val="000000" w:themeColor="text1"/>
        </w:rPr>
        <w:t>A autorização do órgão ou entidade gerenciadora apenas será realizada após a aceitação da adesão pelo fornecedor.</w:t>
      </w:r>
    </w:p>
    <w:p w14:paraId="0B84091E" w14:textId="77777777" w:rsidR="00AE0F1A" w:rsidRPr="00AE7E9B" w:rsidRDefault="00AE0F1A" w:rsidP="00AE0F1A">
      <w:pPr>
        <w:pStyle w:val="Nvel3-R"/>
        <w:ind w:left="567"/>
        <w:rPr>
          <w:i w:val="0"/>
          <w:color w:val="000000" w:themeColor="text1"/>
        </w:rPr>
      </w:pPr>
      <w:r w:rsidRPr="00AE7E9B">
        <w:rPr>
          <w:i w:val="0"/>
          <w:color w:val="000000" w:themeColor="text1"/>
        </w:rPr>
        <w:t>O órgão ou entidade gerenciadora poderá rejeitar adesões caso elas possam acarretar prejuízo à execução de seus próprios contratos ou à sua capacidade de gerenciamento.</w:t>
      </w:r>
    </w:p>
    <w:p w14:paraId="635E8C6D" w14:textId="77777777" w:rsidR="00AE0F1A" w:rsidRPr="00AE7E9B" w:rsidRDefault="00AE0F1A" w:rsidP="00AE0F1A">
      <w:pPr>
        <w:pStyle w:val="Nivel2"/>
        <w:ind w:left="0"/>
        <w:rPr>
          <w:color w:val="000000" w:themeColor="text1"/>
        </w:rPr>
      </w:pPr>
      <w:r w:rsidRPr="00AE7E9B">
        <w:rPr>
          <w:color w:val="000000" w:themeColor="text1"/>
        </w:rPr>
        <w:t>Após a autorização do órgão ou da entidade gerenciadora, o órgão ou entidade não participante deverá efetivar a aquisição ou a contratação solicitada em até noventa dias, observado o prazo de vigência da ata.</w:t>
      </w:r>
    </w:p>
    <w:p w14:paraId="3D3E2B35" w14:textId="77777777" w:rsidR="00AE0F1A" w:rsidRPr="00AE7E9B" w:rsidRDefault="00AE0F1A" w:rsidP="00AE0F1A">
      <w:pPr>
        <w:pStyle w:val="Nivel2"/>
        <w:ind w:left="0"/>
        <w:rPr>
          <w:color w:val="000000" w:themeColor="text1"/>
        </w:rPr>
      </w:pPr>
      <w:r w:rsidRPr="00AE7E9B">
        <w:rPr>
          <w:color w:val="000000" w:themeColor="text1"/>
        </w:rPr>
        <w:t>O prazo de que trata o subitem anterior, relativo à efetivação da contratação, poderá ser prorrogado excepcionalmente, mediante solicitação do órgão ou da entidade não participante aceita pelo órgão ou pela entidade gerenciadora, desde que respeitado o limite temporal de vigência da ata de registro de preços.</w:t>
      </w:r>
    </w:p>
    <w:p w14:paraId="150C6287" w14:textId="77777777" w:rsidR="00AE0F1A" w:rsidRPr="00AE7E9B" w:rsidRDefault="00AE0F1A" w:rsidP="00AE0F1A">
      <w:pPr>
        <w:pStyle w:val="Nivel2"/>
        <w:ind w:left="0"/>
        <w:rPr>
          <w:color w:val="000000" w:themeColor="text1"/>
        </w:rPr>
      </w:pPr>
      <w:r w:rsidRPr="00AE7E9B">
        <w:rPr>
          <w:color w:val="000000" w:themeColor="text1"/>
        </w:rPr>
        <w:t>O órgão ou a entidade poderá aderir a item da ata de registro de preços da qual seja integrante, na qualidade de não participante, para aqueles itens para os quais não tenha quantitativo registrado, observados os requisitos do item 4.1.</w:t>
      </w:r>
    </w:p>
    <w:p w14:paraId="172C9975" w14:textId="77777777" w:rsidR="00AE0F1A" w:rsidRPr="00AE7E9B" w:rsidRDefault="00AE0F1A" w:rsidP="00AE0F1A">
      <w:pPr>
        <w:pStyle w:val="Nivel2"/>
        <w:ind w:left="0"/>
        <w:rPr>
          <w:color w:val="000000" w:themeColor="text1"/>
        </w:rPr>
      </w:pPr>
      <w:bookmarkStart w:id="0" w:name="_Ref214354774"/>
      <w:r w:rsidRPr="00AE7E9B">
        <w:rPr>
          <w:color w:val="000000" w:themeColor="text1"/>
        </w:rPr>
        <w:t>As aquisições ou contratações adicionais não poderão exceder, por órgão ou entidade, a cinquenta por cento dos quantitativos dos itens do instrumento convocatório registrados na ata de registro de preços para o gerenciador e para os participantes.</w:t>
      </w:r>
      <w:bookmarkEnd w:id="0"/>
    </w:p>
    <w:p w14:paraId="2507CAC3" w14:textId="77777777" w:rsidR="00AE0F1A" w:rsidRPr="00AE7E9B" w:rsidRDefault="00AE0F1A" w:rsidP="00AE0F1A">
      <w:pPr>
        <w:pStyle w:val="Nivel2"/>
        <w:ind w:left="0"/>
        <w:rPr>
          <w:color w:val="000000" w:themeColor="text1"/>
        </w:rPr>
      </w:pPr>
      <w:r w:rsidRPr="00AE7E9B">
        <w:rPr>
          <w:color w:val="000000" w:themeColor="text1"/>
        </w:rPr>
        <w:t>O quantitativo decorrente das adesões não poderá exceder, na totalidade, ao dobro do quantitativo de cada item registrado na ata de registro de preços para o gerenciador e os participantes, independentemente do número de órgãos ou entidades não participantes que aderirem à ata de registro de preços.</w:t>
      </w:r>
    </w:p>
    <w:p w14:paraId="36FA6997" w14:textId="77777777" w:rsidR="00AE0F1A" w:rsidRPr="00AE7E9B" w:rsidRDefault="00AE0F1A" w:rsidP="00AE0F1A">
      <w:pPr>
        <w:pStyle w:val="Nvel3-R"/>
        <w:numPr>
          <w:ilvl w:val="0"/>
          <w:numId w:val="0"/>
        </w:numPr>
        <w:ind w:left="993"/>
        <w:rPr>
          <w:color w:val="000000" w:themeColor="text1"/>
        </w:rPr>
      </w:pPr>
    </w:p>
    <w:p w14:paraId="3FB19C06" w14:textId="77777777" w:rsidR="00AE0F1A" w:rsidRPr="00AE7E9B" w:rsidRDefault="00AE0F1A" w:rsidP="00AE0F1A">
      <w:pPr>
        <w:pStyle w:val="Nivel01"/>
        <w:tabs>
          <w:tab w:val="clear" w:pos="567"/>
          <w:tab w:val="left" w:pos="284"/>
        </w:tabs>
        <w:rPr>
          <w:color w:val="000000" w:themeColor="text1"/>
        </w:rPr>
      </w:pPr>
      <w:r w:rsidRPr="00AE7E9B">
        <w:rPr>
          <w:color w:val="000000" w:themeColor="text1"/>
        </w:rPr>
        <w:t>VALIDADE, FORMALIZAÇÃO DA ATA DE REGISTRO DE PREÇOS E CADASTRO RESERVA</w:t>
      </w:r>
    </w:p>
    <w:p w14:paraId="1BBB67AD" w14:textId="77777777" w:rsidR="00AE0F1A" w:rsidRPr="00AE7E9B" w:rsidRDefault="00AE0F1A" w:rsidP="00AE0F1A">
      <w:pPr>
        <w:pStyle w:val="Nivel2"/>
        <w:ind w:left="0"/>
        <w:rPr>
          <w:iCs/>
          <w:color w:val="000000" w:themeColor="text1"/>
        </w:rPr>
      </w:pPr>
      <w:r w:rsidRPr="00AE7E9B">
        <w:rPr>
          <w:color w:val="000000" w:themeColor="text1"/>
        </w:rPr>
        <w:t>A validade da Ata de Registro de Preços será de 1 (um) ano, contado a partir do primeiro dia útil subsequente à data de assinatura do órgão gerenciador, podendo ser prorrogada por igual período, mediante a anuência do fornecedor, desde que comprovado o preço vantajoso.</w:t>
      </w:r>
    </w:p>
    <w:p w14:paraId="7F8514FC" w14:textId="77777777" w:rsidR="00AE0F1A" w:rsidRPr="00AE7E9B" w:rsidRDefault="00AE0F1A" w:rsidP="00AE0F1A">
      <w:pPr>
        <w:pStyle w:val="Nvel3-R"/>
        <w:ind w:left="567"/>
        <w:rPr>
          <w:i w:val="0"/>
          <w:iCs w:val="0"/>
          <w:color w:val="000000" w:themeColor="text1"/>
        </w:rPr>
      </w:pPr>
      <w:r w:rsidRPr="00AE7E9B">
        <w:rPr>
          <w:i w:val="0"/>
          <w:iCs w:val="0"/>
          <w:color w:val="000000" w:themeColor="text1"/>
        </w:rPr>
        <w:lastRenderedPageBreak/>
        <w:t>Em caso de prorrogação da ata, poderá ser renovado o quantitativo originalmente registrado.</w:t>
      </w:r>
    </w:p>
    <w:p w14:paraId="2F831024" w14:textId="77777777" w:rsidR="00AE0F1A" w:rsidRPr="00AE7E9B" w:rsidRDefault="00AE0F1A" w:rsidP="00AE0F1A">
      <w:pPr>
        <w:pStyle w:val="Nvel3"/>
        <w:tabs>
          <w:tab w:val="left" w:pos="709"/>
        </w:tabs>
        <w:ind w:left="567"/>
        <w:rPr>
          <w:color w:val="000000" w:themeColor="text1"/>
        </w:rPr>
      </w:pPr>
      <w:r w:rsidRPr="00AE7E9B">
        <w:rPr>
          <w:color w:val="000000" w:themeColor="text1"/>
        </w:rPr>
        <w:t>O contrato decorrente da ata de registro de preços terá sua vigência estabelecida no próprio instrumento contratual e observará no momento da contratação e a cada exercício financeiro a disponibilidade de créditos orçamentários, bem como a previsão no plano plurianual, quando ultrapassar 1 (um) exercício financeiro.</w:t>
      </w:r>
    </w:p>
    <w:p w14:paraId="520F1403" w14:textId="77777777" w:rsidR="00AE0F1A" w:rsidRPr="00AE7E9B" w:rsidRDefault="00AE0F1A" w:rsidP="00AE0F1A">
      <w:pPr>
        <w:pStyle w:val="Nvel3"/>
        <w:ind w:left="567"/>
        <w:rPr>
          <w:color w:val="000000" w:themeColor="text1"/>
        </w:rPr>
      </w:pPr>
      <w:r w:rsidRPr="00AE7E9B">
        <w:rPr>
          <w:color w:val="000000" w:themeColor="text1"/>
        </w:rPr>
        <w:t>Na formalização do contrato ou do instrumento substituto deverá haver a indicação da disponibilidade dos créditos orçamentários respectivos.</w:t>
      </w:r>
    </w:p>
    <w:p w14:paraId="277F9640" w14:textId="77777777" w:rsidR="00AE0F1A" w:rsidRPr="00AE7E9B" w:rsidRDefault="00AE0F1A" w:rsidP="00AE0F1A">
      <w:pPr>
        <w:pStyle w:val="Nivel2"/>
        <w:ind w:left="0"/>
        <w:rPr>
          <w:color w:val="000000" w:themeColor="text1"/>
        </w:rPr>
      </w:pPr>
      <w:r w:rsidRPr="00AE7E9B">
        <w:rPr>
          <w:color w:val="000000" w:themeColor="text1"/>
        </w:rPr>
        <w:t>A contratação com os fornecedores registrados na ata será formalizada pelo órgão ou pela en</w:t>
      </w:r>
      <w:r w:rsidRPr="00AE7E9B">
        <w:rPr>
          <w:rFonts w:eastAsia="Arial"/>
          <w:color w:val="000000" w:themeColor="text1"/>
        </w:rPr>
        <w:t>ti</w:t>
      </w:r>
      <w:r w:rsidRPr="00AE7E9B">
        <w:rPr>
          <w:color w:val="000000" w:themeColor="text1"/>
        </w:rPr>
        <w:t>dade interessada por intermédio de instrumento contratual, emissão de nota de empenho de despesa, autorização de compra ou outro instrumento hábil, conforme o art. 95 da Lei nº 14.133, de 2021.</w:t>
      </w:r>
    </w:p>
    <w:p w14:paraId="64B3E2F3" w14:textId="77777777" w:rsidR="00AE0F1A" w:rsidRPr="00AE7E9B" w:rsidRDefault="00AE0F1A" w:rsidP="00AE0F1A">
      <w:pPr>
        <w:pStyle w:val="Nvel3"/>
        <w:ind w:left="567"/>
        <w:rPr>
          <w:color w:val="000000" w:themeColor="text1"/>
        </w:rPr>
      </w:pPr>
      <w:r w:rsidRPr="00AE7E9B">
        <w:rPr>
          <w:color w:val="000000" w:themeColor="text1"/>
        </w:rPr>
        <w:t xml:space="preserve"> O instrumento contratual de que trata o item 5.2. deverá ser assinado no prazo de validade da ata de registro de preços.</w:t>
      </w:r>
    </w:p>
    <w:p w14:paraId="64166BFA" w14:textId="77777777" w:rsidR="00AE0F1A" w:rsidRPr="00AE7E9B" w:rsidRDefault="00AE0F1A" w:rsidP="00AE0F1A">
      <w:pPr>
        <w:pStyle w:val="Nivel2"/>
        <w:ind w:left="0"/>
        <w:rPr>
          <w:color w:val="000000" w:themeColor="text1"/>
        </w:rPr>
      </w:pPr>
      <w:r w:rsidRPr="00AE7E9B">
        <w:rPr>
          <w:color w:val="000000" w:themeColor="text1"/>
        </w:rPr>
        <w:t>Os contratos decorrentes do sistema de registro de preços poderão ser alterados, observado o art. 124 da Lei nº 14.133, de 2021.</w:t>
      </w:r>
    </w:p>
    <w:p w14:paraId="4B393EA5" w14:textId="77777777" w:rsidR="00AE0F1A" w:rsidRPr="00AE7E9B" w:rsidRDefault="00AE0F1A" w:rsidP="00AE0F1A">
      <w:pPr>
        <w:pStyle w:val="Nivel2"/>
        <w:ind w:left="0"/>
        <w:rPr>
          <w:color w:val="000000" w:themeColor="text1"/>
        </w:rPr>
      </w:pPr>
      <w:r w:rsidRPr="00AE7E9B">
        <w:rPr>
          <w:color w:val="000000" w:themeColor="text1"/>
        </w:rPr>
        <w:t>Após a homologação da licitação, deverão ser observadas as seguintes condições para formalização da ata de registro de preços:</w:t>
      </w:r>
    </w:p>
    <w:p w14:paraId="6E251E33" w14:textId="77777777" w:rsidR="00AE0F1A" w:rsidRPr="00AE7E9B" w:rsidRDefault="00AE0F1A" w:rsidP="00AE0F1A">
      <w:pPr>
        <w:pStyle w:val="Nvel3"/>
        <w:ind w:left="567"/>
        <w:rPr>
          <w:color w:val="000000" w:themeColor="text1"/>
        </w:rPr>
      </w:pPr>
      <w:r w:rsidRPr="00AE7E9B">
        <w:rPr>
          <w:color w:val="000000" w:themeColor="text1"/>
        </w:rPr>
        <w:t>Será incluído na ata, na forma de anexo, o registro dos licitantes ou dos fornecedores que:</w:t>
      </w:r>
    </w:p>
    <w:p w14:paraId="210477B3" w14:textId="77777777" w:rsidR="00AE0F1A" w:rsidRPr="00AE7E9B" w:rsidRDefault="00AE0F1A" w:rsidP="00AE0F1A">
      <w:pPr>
        <w:pStyle w:val="Nvel4"/>
        <w:numPr>
          <w:ilvl w:val="3"/>
          <w:numId w:val="10"/>
        </w:numPr>
        <w:ind w:left="851"/>
        <w:rPr>
          <w:color w:val="000000" w:themeColor="text1"/>
        </w:rPr>
      </w:pPr>
      <w:r w:rsidRPr="00AE7E9B">
        <w:rPr>
          <w:color w:val="000000" w:themeColor="text1"/>
        </w:rPr>
        <w:t xml:space="preserve">Aceitarem cotar os bens, as obras ou os serviços com preços iguais aos do adjudicatário, observada a classificação da licitação; e </w:t>
      </w:r>
    </w:p>
    <w:p w14:paraId="4370DA87" w14:textId="77777777" w:rsidR="00AE0F1A" w:rsidRPr="00AE7E9B" w:rsidRDefault="00AE0F1A" w:rsidP="00AE0F1A">
      <w:pPr>
        <w:pStyle w:val="Nvel4"/>
        <w:ind w:left="851"/>
        <w:rPr>
          <w:color w:val="000000" w:themeColor="text1"/>
        </w:rPr>
      </w:pPr>
      <w:r w:rsidRPr="00AE7E9B">
        <w:rPr>
          <w:color w:val="000000" w:themeColor="text1"/>
        </w:rPr>
        <w:t xml:space="preserve">Mantiverem sua proposta original. </w:t>
      </w:r>
      <w:bookmarkStart w:id="1" w:name="cadastro_reserva"/>
      <w:bookmarkEnd w:id="1"/>
    </w:p>
    <w:p w14:paraId="5B7C5857" w14:textId="77777777" w:rsidR="00AE0F1A" w:rsidRPr="00AE7E9B" w:rsidRDefault="00AE0F1A" w:rsidP="00AE0F1A">
      <w:pPr>
        <w:pStyle w:val="Nvel3"/>
        <w:ind w:left="567"/>
        <w:rPr>
          <w:color w:val="000000" w:themeColor="text1"/>
        </w:rPr>
      </w:pPr>
      <w:r w:rsidRPr="00AE7E9B">
        <w:rPr>
          <w:color w:val="000000" w:themeColor="text1"/>
        </w:rPr>
        <w:t>Será respeitada, nas contratações, a ordem de classificação dos licitantes ou dos fornecedores registrados na ata.</w:t>
      </w:r>
    </w:p>
    <w:p w14:paraId="4C55DFA4" w14:textId="77777777" w:rsidR="00AE0F1A" w:rsidRPr="00AE7E9B" w:rsidRDefault="00AE0F1A" w:rsidP="00AE0F1A">
      <w:pPr>
        <w:pStyle w:val="Nivel2"/>
        <w:ind w:left="0"/>
        <w:rPr>
          <w:color w:val="000000" w:themeColor="text1"/>
        </w:rPr>
      </w:pPr>
      <w:r w:rsidRPr="00AE7E9B">
        <w:rPr>
          <w:color w:val="000000" w:themeColor="text1"/>
        </w:rPr>
        <w:t>O registro a que se refere o item 5.4.1</w:t>
      </w:r>
      <w:r w:rsidRPr="00AE7E9B">
        <w:rPr>
          <w:b/>
          <w:bCs/>
          <w:color w:val="000000" w:themeColor="text1"/>
        </w:rPr>
        <w:t xml:space="preserve"> </w:t>
      </w:r>
      <w:r w:rsidRPr="00AE7E9B">
        <w:rPr>
          <w:color w:val="000000" w:themeColor="text1"/>
        </w:rPr>
        <w:t>tem por obje</w:t>
      </w:r>
      <w:r w:rsidRPr="00AE7E9B">
        <w:rPr>
          <w:rFonts w:eastAsia="Arial"/>
          <w:color w:val="000000" w:themeColor="text1"/>
        </w:rPr>
        <w:t>ti</w:t>
      </w:r>
      <w:r w:rsidRPr="00AE7E9B">
        <w:rPr>
          <w:color w:val="000000" w:themeColor="text1"/>
        </w:rPr>
        <w:t>vo a formação de cadastro de reserva para o caso de impossibilidade de atendimento pelo signatário da ata.</w:t>
      </w:r>
    </w:p>
    <w:p w14:paraId="15716ED9" w14:textId="77777777" w:rsidR="00AE0F1A" w:rsidRPr="00AE7E9B" w:rsidRDefault="00AE0F1A" w:rsidP="00AE0F1A">
      <w:pPr>
        <w:pStyle w:val="Nivel2"/>
        <w:ind w:left="0"/>
        <w:rPr>
          <w:color w:val="000000" w:themeColor="text1"/>
        </w:rPr>
      </w:pPr>
      <w:r w:rsidRPr="00AE7E9B">
        <w:rPr>
          <w:color w:val="000000" w:themeColor="text1"/>
        </w:rPr>
        <w:t>Para fins da ordem de classificação, os licitantes ou fornecedores que aceitarem reduzir suas propostas para o preço do adjudicatário antecederão aqueles que mantiverem sua proposta original.</w:t>
      </w:r>
    </w:p>
    <w:p w14:paraId="3BB62D42" w14:textId="77777777" w:rsidR="00AE0F1A" w:rsidRPr="00AE7E9B" w:rsidRDefault="00AE0F1A" w:rsidP="00AE0F1A">
      <w:pPr>
        <w:pStyle w:val="Nivel2"/>
        <w:ind w:left="0"/>
        <w:rPr>
          <w:color w:val="000000" w:themeColor="text1"/>
        </w:rPr>
      </w:pPr>
      <w:r w:rsidRPr="00AE7E9B">
        <w:rPr>
          <w:color w:val="000000" w:themeColor="text1"/>
        </w:rPr>
        <w:t>A habilitação dos licitantes que comporão o cadastro de reserva a que se refere o item 5.4.1.2 somente será efetuada quando houver necessidade de contratação dos licitantes remanescentes, nas seguintes hipóteses:</w:t>
      </w:r>
      <w:bookmarkStart w:id="2" w:name="habilitacao_reserva"/>
      <w:bookmarkEnd w:id="2"/>
    </w:p>
    <w:p w14:paraId="56F3202E" w14:textId="77777777" w:rsidR="00AE0F1A" w:rsidRPr="00AE7E9B" w:rsidRDefault="00AE0F1A" w:rsidP="00AE0F1A">
      <w:pPr>
        <w:pStyle w:val="Nvel3"/>
        <w:ind w:left="567"/>
        <w:rPr>
          <w:color w:val="000000" w:themeColor="text1"/>
        </w:rPr>
      </w:pPr>
      <w:r w:rsidRPr="00AE7E9B">
        <w:rPr>
          <w:color w:val="000000" w:themeColor="text1"/>
        </w:rPr>
        <w:t>Quando o licitante vencedor não assinar a ata de registro de preços, no prazo e nas condições estabelecidos no</w:t>
      </w:r>
      <w:r w:rsidRPr="00AE7E9B">
        <w:rPr>
          <w:i/>
          <w:iCs/>
          <w:color w:val="000000" w:themeColor="text1"/>
        </w:rPr>
        <w:t xml:space="preserve"> </w:t>
      </w:r>
      <w:r w:rsidRPr="00AE7E9B">
        <w:rPr>
          <w:color w:val="000000" w:themeColor="text1"/>
        </w:rPr>
        <w:t>Edital de Licitação ou Aviso de Contratação Direta;</w:t>
      </w:r>
    </w:p>
    <w:p w14:paraId="4826716F" w14:textId="77777777" w:rsidR="00AE0F1A" w:rsidRPr="00AE7E9B" w:rsidRDefault="00AE0F1A" w:rsidP="00AE0F1A">
      <w:pPr>
        <w:pStyle w:val="Nvel3"/>
        <w:ind w:left="567"/>
        <w:rPr>
          <w:color w:val="000000" w:themeColor="text1"/>
        </w:rPr>
      </w:pPr>
      <w:r w:rsidRPr="00AE7E9B">
        <w:rPr>
          <w:color w:val="000000" w:themeColor="text1"/>
        </w:rPr>
        <w:t>Quando houver o cancelamento do registro do licitante ou do registro de preços nas hipóteses previstas no item 9.</w:t>
      </w:r>
    </w:p>
    <w:p w14:paraId="05DA784F" w14:textId="77777777" w:rsidR="00AE0F1A" w:rsidRPr="00AE7E9B" w:rsidRDefault="00AE0F1A" w:rsidP="00AE0F1A">
      <w:pPr>
        <w:pStyle w:val="Nivel2"/>
        <w:ind w:left="0"/>
        <w:rPr>
          <w:color w:val="000000" w:themeColor="text1"/>
        </w:rPr>
      </w:pPr>
      <w:r w:rsidRPr="00AE7E9B">
        <w:rPr>
          <w:color w:val="000000" w:themeColor="text1"/>
        </w:rPr>
        <w:lastRenderedPageBreak/>
        <w:t>Após a homologação da licitação ou da contratação direta, o licitante mais bem classificado ou o fornecedor, no caso da contratação direta, será convocado para assinar a ata de registro de preços, no prazo e nas condições estabelecidos no Edital de Licitação ou Aviso de Contratação Direta de licitação ou no aviso de contratação direta, sob pena de decair o direito, sem prejuízo das sanções previstas na Lei nº 14.133, de 2021.</w:t>
      </w:r>
    </w:p>
    <w:p w14:paraId="29461F08" w14:textId="77777777" w:rsidR="00AE0F1A" w:rsidRPr="00AE7E9B" w:rsidRDefault="00AE0F1A" w:rsidP="00AE0F1A">
      <w:pPr>
        <w:pStyle w:val="Nvel3"/>
        <w:ind w:left="567"/>
        <w:rPr>
          <w:color w:val="000000" w:themeColor="text1"/>
        </w:rPr>
      </w:pPr>
      <w:r w:rsidRPr="00AE7E9B">
        <w:rPr>
          <w:color w:val="000000" w:themeColor="text1"/>
        </w:rPr>
        <w:t>O prazo de convocação poderá ser prorrogado 1 (uma) vez, por igual período, mediante solicitação do licitante ou fornecedor convocado, desde que apresentada dentro do prazo, devidamente justificada, e que a justificativa seja aceita pela Administração.</w:t>
      </w:r>
    </w:p>
    <w:p w14:paraId="02212F75" w14:textId="77777777" w:rsidR="00AE0F1A" w:rsidRPr="00AE7E9B" w:rsidRDefault="00AE0F1A" w:rsidP="00AE0F1A">
      <w:pPr>
        <w:pStyle w:val="Nivel2"/>
        <w:ind w:left="0"/>
        <w:rPr>
          <w:color w:val="000000" w:themeColor="text1"/>
        </w:rPr>
      </w:pPr>
      <w:r w:rsidRPr="00AE7E9B">
        <w:rPr>
          <w:color w:val="000000" w:themeColor="text1"/>
        </w:rPr>
        <w:t>A ata de registro de preços será assinada por meio de assinatura digital.</w:t>
      </w:r>
    </w:p>
    <w:p w14:paraId="4E263BCC" w14:textId="77777777" w:rsidR="00AE0F1A" w:rsidRPr="00AE7E9B" w:rsidRDefault="00AE0F1A" w:rsidP="00AE0F1A">
      <w:pPr>
        <w:pStyle w:val="Nivel2"/>
        <w:ind w:left="0"/>
        <w:rPr>
          <w:color w:val="000000" w:themeColor="text1"/>
        </w:rPr>
      </w:pPr>
      <w:r w:rsidRPr="00AE7E9B">
        <w:rPr>
          <w:color w:val="000000" w:themeColor="text1"/>
        </w:rPr>
        <w:t xml:space="preserve">Quando o convocado não assinar a ata de registro de preços no prazo e nas condições estabelecidos no Edital de Licitação ou Aviso de Contratação Direta ou no aviso de contratação, observando o item </w:t>
      </w:r>
      <w:r w:rsidRPr="00AE7E9B">
        <w:rPr>
          <w:color w:val="000000" w:themeColor="text1"/>
        </w:rPr>
        <w:fldChar w:fldCharType="begin"/>
      </w:r>
      <w:r w:rsidRPr="00AE7E9B">
        <w:rPr>
          <w:color w:val="000000" w:themeColor="text1"/>
        </w:rPr>
        <w:instrText xml:space="preserve"> REF habilitacao_reserva \r \h  \* MERGEFORMAT </w:instrText>
      </w:r>
      <w:r w:rsidRPr="00AE7E9B">
        <w:rPr>
          <w:color w:val="000000" w:themeColor="text1"/>
        </w:rPr>
      </w:r>
      <w:r w:rsidRPr="00AE7E9B">
        <w:rPr>
          <w:color w:val="000000" w:themeColor="text1"/>
        </w:rPr>
        <w:fldChar w:fldCharType="separate"/>
      </w:r>
      <w:r w:rsidRPr="00AE7E9B">
        <w:rPr>
          <w:color w:val="000000" w:themeColor="text1"/>
        </w:rPr>
        <w:t>5.7</w:t>
      </w:r>
      <w:r w:rsidRPr="00AE7E9B">
        <w:rPr>
          <w:color w:val="000000" w:themeColor="text1"/>
        </w:rPr>
        <w:fldChar w:fldCharType="end"/>
      </w:r>
      <w:r w:rsidRPr="00AE7E9B">
        <w:rPr>
          <w:color w:val="000000" w:themeColor="text1"/>
        </w:rPr>
        <w:t xml:space="preserve"> e subitens, fica facultado à Administração convocar os licitantes remanescentes do cadastro de reserva, na ordem de classificação, para fazê-lo em igual prazo e nas condições propostas pelo primeiro classificado.</w:t>
      </w:r>
      <w:bookmarkStart w:id="3" w:name="recusa_dos_que_baixaram_preco"/>
      <w:bookmarkEnd w:id="3"/>
    </w:p>
    <w:p w14:paraId="2BD0E5F7" w14:textId="77777777" w:rsidR="00AE0F1A" w:rsidRPr="00AE7E9B" w:rsidRDefault="00AE0F1A" w:rsidP="00AE0F1A">
      <w:pPr>
        <w:pStyle w:val="Nivel2"/>
        <w:ind w:left="0"/>
        <w:rPr>
          <w:color w:val="000000" w:themeColor="text1"/>
        </w:rPr>
      </w:pPr>
      <w:r w:rsidRPr="00AE7E9B">
        <w:rPr>
          <w:color w:val="000000" w:themeColor="text1"/>
        </w:rPr>
        <w:t>Na hipótese de nenhum dos licitantes que trata o item 5.4.1.1., aceitar a contratação nos termos do item anterior, a Administração, observados o valor es</w:t>
      </w:r>
      <w:r w:rsidRPr="00AE7E9B">
        <w:rPr>
          <w:rFonts w:eastAsia="Arial"/>
          <w:color w:val="000000" w:themeColor="text1"/>
        </w:rPr>
        <w:t>ti</w:t>
      </w:r>
      <w:r w:rsidRPr="00AE7E9B">
        <w:rPr>
          <w:color w:val="000000" w:themeColor="text1"/>
        </w:rPr>
        <w:t>mado e sua eventual atualização nos termos do Edital de Licitação ou Aviso de Contratação Direta, poderá:</w:t>
      </w:r>
    </w:p>
    <w:p w14:paraId="081311F2" w14:textId="77777777" w:rsidR="00AE0F1A" w:rsidRPr="00AE7E9B" w:rsidRDefault="00AE0F1A" w:rsidP="00AE0F1A">
      <w:pPr>
        <w:pStyle w:val="Nvel3"/>
        <w:ind w:left="567"/>
        <w:rPr>
          <w:color w:val="000000" w:themeColor="text1"/>
        </w:rPr>
      </w:pPr>
      <w:r w:rsidRPr="00AE7E9B">
        <w:rPr>
          <w:color w:val="000000" w:themeColor="text1"/>
        </w:rPr>
        <w:t>Convocar para negociação os demais licitantes ou fornecedores remanescentes cujos preços foram registrados sem redução, observada a ordem de classificação, com vistas à obtenção de preço melhor, mesmo que acima do preço do adjudicatário; ou</w:t>
      </w:r>
    </w:p>
    <w:p w14:paraId="5EA422E4" w14:textId="77777777" w:rsidR="00AE0F1A" w:rsidRPr="00AE7E9B" w:rsidRDefault="00AE0F1A" w:rsidP="00AE0F1A">
      <w:pPr>
        <w:pStyle w:val="Nvel3"/>
        <w:ind w:left="567"/>
        <w:rPr>
          <w:color w:val="000000" w:themeColor="text1"/>
        </w:rPr>
      </w:pPr>
      <w:r w:rsidRPr="00AE7E9B">
        <w:rPr>
          <w:color w:val="000000" w:themeColor="text1"/>
        </w:rPr>
        <w:t>Adjudicar e firmar o contrato nas condições ofertadas pelos licitantes ou fornecedores remanescentes, atendida a ordem classificatória, quando frustrada a negociação de melhor condição.</w:t>
      </w:r>
    </w:p>
    <w:p w14:paraId="59DB6496" w14:textId="77777777" w:rsidR="00AE0F1A" w:rsidRPr="00AE7E9B" w:rsidRDefault="00AE0F1A" w:rsidP="00AE0F1A">
      <w:pPr>
        <w:pStyle w:val="Nivel2"/>
        <w:ind w:left="0"/>
        <w:rPr>
          <w:color w:val="000000" w:themeColor="text1"/>
        </w:rPr>
      </w:pPr>
      <w:r w:rsidRPr="00AE7E9B">
        <w:rPr>
          <w:color w:val="000000" w:themeColor="text1"/>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50AEAD93" w14:textId="77777777" w:rsidR="00AE0F1A" w:rsidRPr="00AE7E9B" w:rsidRDefault="00AE0F1A" w:rsidP="00AE0F1A">
      <w:pPr>
        <w:pStyle w:val="Nivel01"/>
        <w:tabs>
          <w:tab w:val="clear" w:pos="567"/>
          <w:tab w:val="left" w:pos="284"/>
        </w:tabs>
        <w:rPr>
          <w:color w:val="000000" w:themeColor="text1"/>
        </w:rPr>
      </w:pPr>
      <w:r w:rsidRPr="00AE7E9B">
        <w:rPr>
          <w:color w:val="000000" w:themeColor="text1"/>
        </w:rPr>
        <w:t>ALTERAÇÃO OU ATUALIZAÇÃO DOS PREÇOS REGISTRADOS</w:t>
      </w:r>
    </w:p>
    <w:p w14:paraId="5845CD7F" w14:textId="77777777" w:rsidR="00AE0F1A" w:rsidRPr="00AE7E9B" w:rsidRDefault="00AE0F1A" w:rsidP="00AE0F1A">
      <w:pPr>
        <w:pStyle w:val="Nivel2"/>
        <w:ind w:left="0"/>
        <w:rPr>
          <w:color w:val="000000" w:themeColor="text1"/>
        </w:rPr>
      </w:pPr>
      <w:r w:rsidRPr="00AE7E9B">
        <w:rPr>
          <w:color w:val="000000" w:themeColor="text1"/>
        </w:rPr>
        <w:t>Os preços registrados poderão ser alterados ou atualizados em decorrência de eventual redução dos preços pra</w:t>
      </w:r>
      <w:r w:rsidRPr="00AE7E9B">
        <w:rPr>
          <w:rFonts w:eastAsia="Calibri"/>
          <w:color w:val="000000" w:themeColor="text1"/>
        </w:rPr>
        <w:t>ti</w:t>
      </w:r>
      <w:r w:rsidRPr="00AE7E9B">
        <w:rPr>
          <w:color w:val="000000" w:themeColor="text1"/>
        </w:rPr>
        <w:t>cados no mercado ou de fato que eleve o custo dos bens, das obras ou dos serviços registrados, nas seguintes situações:</w:t>
      </w:r>
    </w:p>
    <w:p w14:paraId="08E96CF6" w14:textId="77777777" w:rsidR="00AE0F1A" w:rsidRPr="00AE7E9B" w:rsidRDefault="00AE0F1A" w:rsidP="00AE0F1A">
      <w:pPr>
        <w:pStyle w:val="Nvel3"/>
        <w:ind w:left="567"/>
        <w:rPr>
          <w:color w:val="000000" w:themeColor="text1"/>
        </w:rPr>
      </w:pPr>
      <w:r w:rsidRPr="00AE7E9B">
        <w:rPr>
          <w:color w:val="000000" w:themeColor="text1"/>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7E05DB73" w14:textId="77777777" w:rsidR="00AE0F1A" w:rsidRPr="00AE7E9B" w:rsidRDefault="00AE0F1A" w:rsidP="00AE0F1A">
      <w:pPr>
        <w:pStyle w:val="Nvel3"/>
        <w:ind w:left="567"/>
        <w:rPr>
          <w:color w:val="000000" w:themeColor="text1"/>
        </w:rPr>
      </w:pPr>
      <w:r w:rsidRPr="00AE7E9B">
        <w:rPr>
          <w:color w:val="000000" w:themeColor="text1"/>
        </w:rPr>
        <w:t>Em caso de criação, alteração ou ex</w:t>
      </w:r>
      <w:r w:rsidRPr="00AE7E9B">
        <w:rPr>
          <w:rFonts w:eastAsia="Calibri"/>
          <w:color w:val="000000" w:themeColor="text1"/>
        </w:rPr>
        <w:t>ti</w:t>
      </w:r>
      <w:r w:rsidRPr="00AE7E9B">
        <w:rPr>
          <w:color w:val="000000" w:themeColor="text1"/>
        </w:rPr>
        <w:t xml:space="preserve">nção de quaisquer tributos ou encargos legais ou a superveniência de disposições legais, com comprovada repercussão sobre os preços registrados; </w:t>
      </w:r>
    </w:p>
    <w:p w14:paraId="41C0D2EC" w14:textId="77777777" w:rsidR="00AE0F1A" w:rsidRPr="00AE7E9B" w:rsidRDefault="00AE0F1A" w:rsidP="00AE0F1A">
      <w:pPr>
        <w:pStyle w:val="Nvel3"/>
        <w:ind w:left="567"/>
        <w:rPr>
          <w:color w:val="000000" w:themeColor="text1"/>
        </w:rPr>
      </w:pPr>
      <w:r w:rsidRPr="00AE7E9B">
        <w:rPr>
          <w:color w:val="000000" w:themeColor="text1"/>
        </w:rPr>
        <w:t>Na hipótese de previsão no Edital de Licitação ou Aviso de Contratação Direta minuta de contrato de cláusula de reajustamento ou repactuação sobre os preços registrados, nos termos da Lei nº 14.133, de 2021.</w:t>
      </w:r>
    </w:p>
    <w:p w14:paraId="1D688339" w14:textId="77777777" w:rsidR="00AE0F1A" w:rsidRPr="00AE7E9B" w:rsidRDefault="00AE0F1A" w:rsidP="00AE0F1A">
      <w:pPr>
        <w:pStyle w:val="Nvel4"/>
        <w:ind w:left="851"/>
        <w:rPr>
          <w:color w:val="000000" w:themeColor="text1"/>
        </w:rPr>
      </w:pPr>
      <w:r w:rsidRPr="00AE7E9B">
        <w:rPr>
          <w:color w:val="000000" w:themeColor="text1"/>
        </w:rPr>
        <w:lastRenderedPageBreak/>
        <w:t xml:space="preserve">No caso do reajustamento, deverá ser respeitada a contagem da anualidade e o índice previstos para a contratação;  </w:t>
      </w:r>
    </w:p>
    <w:p w14:paraId="4D7EF33B" w14:textId="77777777" w:rsidR="00AE0F1A" w:rsidRPr="00AE7E9B" w:rsidRDefault="00AE0F1A" w:rsidP="00AE0F1A">
      <w:pPr>
        <w:pStyle w:val="Nvel4"/>
        <w:ind w:left="851"/>
        <w:rPr>
          <w:color w:val="000000" w:themeColor="text1"/>
        </w:rPr>
      </w:pPr>
      <w:r w:rsidRPr="00AE7E9B">
        <w:rPr>
          <w:color w:val="000000" w:themeColor="text1"/>
        </w:rPr>
        <w:t>No caso da repactuação, poderá ser a pedido do interessado, conforme critérios definidos para a contratação.</w:t>
      </w:r>
    </w:p>
    <w:p w14:paraId="1A45E9E4" w14:textId="77777777" w:rsidR="00AE0F1A" w:rsidRPr="00AE7E9B" w:rsidRDefault="00AE0F1A" w:rsidP="00AE0F1A">
      <w:pPr>
        <w:pStyle w:val="Nivel01"/>
        <w:tabs>
          <w:tab w:val="clear" w:pos="567"/>
          <w:tab w:val="left" w:pos="284"/>
        </w:tabs>
        <w:rPr>
          <w:color w:val="000000" w:themeColor="text1"/>
        </w:rPr>
      </w:pPr>
      <w:r w:rsidRPr="00AE7E9B">
        <w:rPr>
          <w:color w:val="000000" w:themeColor="text1"/>
        </w:rPr>
        <w:t>NEGOCIAÇÃO DE PREÇOS REGISTRADOS</w:t>
      </w:r>
    </w:p>
    <w:p w14:paraId="072A7FF0" w14:textId="77777777" w:rsidR="00AE0F1A" w:rsidRPr="00AE7E9B" w:rsidRDefault="00AE0F1A" w:rsidP="00AE0F1A">
      <w:pPr>
        <w:pStyle w:val="Nivel2"/>
        <w:ind w:left="0"/>
        <w:rPr>
          <w:color w:val="000000" w:themeColor="text1"/>
        </w:rPr>
      </w:pPr>
      <w:r w:rsidRPr="00AE7E9B">
        <w:rPr>
          <w:color w:val="000000" w:themeColor="text1"/>
        </w:rPr>
        <w:t>Na hipótese de o preço registrado tornar-se superior ao preço pra</w:t>
      </w:r>
      <w:r w:rsidRPr="00AE7E9B">
        <w:rPr>
          <w:rFonts w:eastAsia="Calibri"/>
          <w:color w:val="000000" w:themeColor="text1"/>
        </w:rPr>
        <w:t>ti</w:t>
      </w:r>
      <w:r w:rsidRPr="00AE7E9B">
        <w:rPr>
          <w:color w:val="000000" w:themeColor="text1"/>
        </w:rPr>
        <w:t>cado no mercado por mo</w:t>
      </w:r>
      <w:r w:rsidRPr="00AE7E9B">
        <w:rPr>
          <w:rFonts w:eastAsia="Calibri"/>
          <w:color w:val="000000" w:themeColor="text1"/>
        </w:rPr>
        <w:t>ti</w:t>
      </w:r>
      <w:r w:rsidRPr="00AE7E9B">
        <w:rPr>
          <w:color w:val="000000" w:themeColor="text1"/>
        </w:rPr>
        <w:t>vo superveniente, o órgão ou en</w:t>
      </w:r>
      <w:r w:rsidRPr="00AE7E9B">
        <w:rPr>
          <w:rFonts w:eastAsia="Calibri"/>
          <w:color w:val="000000" w:themeColor="text1"/>
        </w:rPr>
        <w:t>ti</w:t>
      </w:r>
      <w:r w:rsidRPr="00AE7E9B">
        <w:rPr>
          <w:color w:val="000000" w:themeColor="text1"/>
        </w:rPr>
        <w:t>dade gerenciadora convocará o fornecedor para negociar a redução do preço registrado.</w:t>
      </w:r>
    </w:p>
    <w:p w14:paraId="047ABED5" w14:textId="77777777" w:rsidR="00AE0F1A" w:rsidRPr="00AE7E9B" w:rsidRDefault="00AE0F1A" w:rsidP="00AE0F1A">
      <w:pPr>
        <w:pStyle w:val="Nvel3-R"/>
        <w:ind w:left="567"/>
        <w:rPr>
          <w:i w:val="0"/>
          <w:iCs w:val="0"/>
          <w:color w:val="000000" w:themeColor="text1"/>
        </w:rPr>
      </w:pPr>
      <w:r w:rsidRPr="00AE7E9B">
        <w:rPr>
          <w:i w:val="0"/>
          <w:iCs w:val="0"/>
          <w:color w:val="000000" w:themeColor="text1"/>
        </w:rPr>
        <w:t>Caso não aceite reduzir seu preço aos valores pra</w:t>
      </w:r>
      <w:r w:rsidRPr="00AE7E9B">
        <w:rPr>
          <w:rFonts w:eastAsia="Calibri"/>
          <w:i w:val="0"/>
          <w:iCs w:val="0"/>
          <w:color w:val="000000" w:themeColor="text1"/>
        </w:rPr>
        <w:t>ti</w:t>
      </w:r>
      <w:r w:rsidRPr="00AE7E9B">
        <w:rPr>
          <w:i w:val="0"/>
          <w:iCs w:val="0"/>
          <w:color w:val="000000" w:themeColor="text1"/>
        </w:rPr>
        <w:t>cados pelo mercado, o fornecedor será liberado do compromisso assumido quanto ao item registrado, sem aplicação de penalidades administrativas.</w:t>
      </w:r>
    </w:p>
    <w:p w14:paraId="73F79E09" w14:textId="77777777" w:rsidR="00AE0F1A" w:rsidRPr="00AE7E9B" w:rsidRDefault="00AE0F1A" w:rsidP="00AE0F1A">
      <w:pPr>
        <w:pStyle w:val="Nvel3"/>
        <w:ind w:left="567"/>
        <w:rPr>
          <w:color w:val="000000" w:themeColor="text1"/>
        </w:rPr>
      </w:pPr>
      <w:r w:rsidRPr="00AE7E9B">
        <w:rPr>
          <w:color w:val="000000" w:themeColor="text1"/>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7D76A2FF" w14:textId="77777777" w:rsidR="00AE0F1A" w:rsidRPr="00AE7E9B" w:rsidRDefault="00AE0F1A" w:rsidP="00AE0F1A">
      <w:pPr>
        <w:pStyle w:val="Nvel3"/>
        <w:ind w:left="567"/>
        <w:rPr>
          <w:color w:val="000000" w:themeColor="text1"/>
        </w:rPr>
      </w:pPr>
      <w:r w:rsidRPr="00AE7E9B">
        <w:rPr>
          <w:color w:val="000000" w:themeColor="text1"/>
        </w:rPr>
        <w:t>Se não obtiver êxito nas negociações, o órgão ou en</w:t>
      </w:r>
      <w:r w:rsidRPr="00AE7E9B">
        <w:rPr>
          <w:rFonts w:eastAsia="Calibri"/>
          <w:color w:val="000000" w:themeColor="text1"/>
        </w:rPr>
        <w:t>tid</w:t>
      </w:r>
      <w:r w:rsidRPr="00AE7E9B">
        <w:rPr>
          <w:color w:val="000000" w:themeColor="text1"/>
        </w:rPr>
        <w:t>ade gerenciadora procederá ao cancelamento da ata de registro de preços, adotando as medidas cabíveis para obtenção de contratação mais vantajosa.</w:t>
      </w:r>
      <w:bookmarkStart w:id="4" w:name="reducao_preco_mercado_negociacao_frustra"/>
      <w:bookmarkEnd w:id="4"/>
    </w:p>
    <w:p w14:paraId="4B5807D9" w14:textId="77777777" w:rsidR="00AE0F1A" w:rsidRPr="00AE7E9B" w:rsidRDefault="00AE0F1A" w:rsidP="00AE0F1A">
      <w:pPr>
        <w:pStyle w:val="Nvel3"/>
        <w:ind w:left="567"/>
        <w:rPr>
          <w:color w:val="000000" w:themeColor="text1"/>
        </w:rPr>
      </w:pPr>
      <w:r w:rsidRPr="00AE7E9B">
        <w:rPr>
          <w:color w:val="000000" w:themeColor="text1"/>
        </w:rPr>
        <w:t>Na hipótese de redução do preço registrado, o gerenciador comunicará aos órgãos e às en</w:t>
      </w:r>
      <w:r w:rsidRPr="00AE7E9B">
        <w:rPr>
          <w:rFonts w:eastAsia="Calibri"/>
          <w:color w:val="000000" w:themeColor="text1"/>
        </w:rPr>
        <w:t>ti</w:t>
      </w:r>
      <w:r w:rsidRPr="00AE7E9B">
        <w:rPr>
          <w:color w:val="000000" w:themeColor="text1"/>
        </w:rPr>
        <w:t xml:space="preserve">dades que </w:t>
      </w:r>
      <w:r w:rsidRPr="00AE7E9B">
        <w:rPr>
          <w:rFonts w:eastAsia="Calibri"/>
          <w:color w:val="000000" w:themeColor="text1"/>
        </w:rPr>
        <w:t>ti</w:t>
      </w:r>
      <w:r w:rsidRPr="00AE7E9B">
        <w:rPr>
          <w:color w:val="000000" w:themeColor="text1"/>
        </w:rPr>
        <w:t>verem firmado contratos decorrentes da ata de registro de preços para que avaliem a conveniência e a oportunidade de diligenciarem negociação com vistas à alteração contratual, observado o disposto no art. 124 da Lei nº 14.133, de 2021.</w:t>
      </w:r>
    </w:p>
    <w:p w14:paraId="0B31E960" w14:textId="77777777" w:rsidR="00AE0F1A" w:rsidRPr="00AE7E9B" w:rsidRDefault="00AE0F1A" w:rsidP="00AE0F1A">
      <w:pPr>
        <w:pStyle w:val="Nivel2"/>
        <w:ind w:left="0"/>
        <w:rPr>
          <w:color w:val="000000" w:themeColor="text1"/>
        </w:rPr>
      </w:pPr>
      <w:r w:rsidRPr="00AE7E9B">
        <w:rPr>
          <w:color w:val="000000" w:themeColor="text1"/>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5" w:name="hipotese_preco_mercado_maior"/>
      <w:bookmarkEnd w:id="5"/>
    </w:p>
    <w:p w14:paraId="14D2BDAD" w14:textId="77777777" w:rsidR="00AE0F1A" w:rsidRPr="00AE7E9B" w:rsidRDefault="00AE0F1A" w:rsidP="00AE0F1A">
      <w:pPr>
        <w:pStyle w:val="Nvel3"/>
        <w:ind w:left="567"/>
        <w:rPr>
          <w:color w:val="000000" w:themeColor="text1"/>
        </w:rPr>
      </w:pPr>
      <w:r w:rsidRPr="00AE7E9B">
        <w:rPr>
          <w:color w:val="000000" w:themeColor="text1"/>
        </w:rPr>
        <w:t xml:space="preserve">Neste caso, o fornecedor encaminhará, juntamente com o pedido de alteração, a documentação comprobatória ou </w:t>
      </w:r>
      <w:proofErr w:type="spellStart"/>
      <w:r w:rsidRPr="00AE7E9B">
        <w:rPr>
          <w:color w:val="000000" w:themeColor="text1"/>
        </w:rPr>
        <w:t>a</w:t>
      </w:r>
      <w:proofErr w:type="spellEnd"/>
      <w:r w:rsidRPr="00AE7E9B">
        <w:rPr>
          <w:color w:val="000000" w:themeColor="text1"/>
        </w:rPr>
        <w:t xml:space="preserve"> planilha de custos que demonstre a inviabilidade do preço registrado em relação às condições inicialmente pactuadas.</w:t>
      </w:r>
      <w:bookmarkStart w:id="6" w:name="prova_preco_mercado_maior"/>
      <w:bookmarkEnd w:id="6"/>
    </w:p>
    <w:p w14:paraId="73C3595B" w14:textId="77777777" w:rsidR="00AE0F1A" w:rsidRPr="00AE7E9B" w:rsidRDefault="00AE0F1A" w:rsidP="00AE0F1A">
      <w:pPr>
        <w:pStyle w:val="Nvel3"/>
        <w:ind w:left="567"/>
        <w:rPr>
          <w:color w:val="000000" w:themeColor="text1"/>
        </w:rPr>
      </w:pPr>
      <w:r w:rsidRPr="00AE7E9B">
        <w:rPr>
          <w:color w:val="000000" w:themeColor="text1"/>
        </w:rPr>
        <w:t>Na hipótese de não comprovação da existência de fato superveniente que inviabilize o preço registrado, o pedido será indeferido pelo órgão ou en</w:t>
      </w:r>
      <w:r w:rsidRPr="00AE7E9B">
        <w:rPr>
          <w:rFonts w:eastAsia="Calibri"/>
          <w:color w:val="000000" w:themeColor="text1"/>
        </w:rPr>
        <w:t>ti</w:t>
      </w:r>
      <w:r w:rsidRPr="00AE7E9B">
        <w:rPr>
          <w:color w:val="000000" w:themeColor="text1"/>
        </w:rPr>
        <w:t>dade gerenciadora e o fornecedor deverá cumprir as obrigações estabelecidas na ata, sob pena de cancelamento do seu registro, nos termos do item 9.1, sem prejuízo das sanções previstas na Lei nº 14.133, de 2021, e na legislação aplicável.</w:t>
      </w:r>
      <w:bookmarkStart w:id="7" w:name="nao_comprovacao_majoracao_mercado"/>
      <w:bookmarkEnd w:id="7"/>
    </w:p>
    <w:p w14:paraId="2847EB26" w14:textId="25AB2C5F" w:rsidR="00AE0F1A" w:rsidRPr="00AE7E9B" w:rsidRDefault="00AE0F1A" w:rsidP="00AE0F1A">
      <w:pPr>
        <w:pStyle w:val="Nvel3"/>
        <w:ind w:left="567"/>
        <w:rPr>
          <w:color w:val="000000" w:themeColor="text1"/>
        </w:rPr>
      </w:pPr>
      <w:r w:rsidRPr="00AE7E9B">
        <w:rPr>
          <w:color w:val="000000" w:themeColor="text1"/>
        </w:rPr>
        <w:t xml:space="preserve">Na hipótese de cancelamento do registro do fornecedor, nos termos do item anterior, o gerenciador convocará os fornecedores do cadastro de reserva, na ordem de classificação, para verificar se aceitam manter seus preços registrados, observado o disposto no item </w:t>
      </w:r>
      <w:proofErr w:type="gramStart"/>
      <w:r w:rsidRPr="00AE7E9B">
        <w:rPr>
          <w:color w:val="000000" w:themeColor="text1"/>
        </w:rPr>
        <w:t>5.7..</w:t>
      </w:r>
      <w:proofErr w:type="gramEnd"/>
    </w:p>
    <w:p w14:paraId="6A14EAA4" w14:textId="77777777" w:rsidR="00AE0F1A" w:rsidRPr="00AE7E9B" w:rsidRDefault="00AE0F1A" w:rsidP="00AE0F1A">
      <w:pPr>
        <w:pStyle w:val="Nvel3"/>
        <w:ind w:left="567"/>
        <w:rPr>
          <w:color w:val="000000" w:themeColor="text1"/>
        </w:rPr>
      </w:pPr>
      <w:r w:rsidRPr="00AE7E9B">
        <w:rPr>
          <w:color w:val="000000" w:themeColor="text1"/>
        </w:rPr>
        <w:lastRenderedPageBreak/>
        <w:t>Se não obtiver êxito nas negociações, o órgão ou entidade gerenciadora procederá ao cancelamento da ata de registro de preços, nos termos do item 9.4, e adotará as medidas cabíveis para a obtenção da contratação mais vantajosa.</w:t>
      </w:r>
      <w:bookmarkStart w:id="8" w:name="majora_preco_mercado_negociacao_frustra"/>
      <w:bookmarkEnd w:id="8"/>
    </w:p>
    <w:p w14:paraId="3F7A8D9D" w14:textId="77777777" w:rsidR="00AE0F1A" w:rsidRPr="00AE7E9B" w:rsidRDefault="00AE0F1A" w:rsidP="00AE0F1A">
      <w:pPr>
        <w:pStyle w:val="Nvel3"/>
        <w:ind w:left="567"/>
        <w:rPr>
          <w:color w:val="000000" w:themeColor="text1"/>
        </w:rPr>
      </w:pPr>
      <w:r w:rsidRPr="00AE7E9B">
        <w:rPr>
          <w:color w:val="000000" w:themeColor="text1"/>
        </w:rPr>
        <w:t>Na hipótese de comprovação da majoração do preço de mercado que inviabilize o preço registrado, conforme previsto no item 7.2. e no item 7.2.1., o órgão ou en</w:t>
      </w:r>
      <w:r w:rsidRPr="00AE7E9B">
        <w:rPr>
          <w:rFonts w:eastAsia="Calibri"/>
          <w:color w:val="000000" w:themeColor="text1"/>
        </w:rPr>
        <w:t>ti</w:t>
      </w:r>
      <w:r w:rsidRPr="00AE7E9B">
        <w:rPr>
          <w:color w:val="000000" w:themeColor="text1"/>
        </w:rPr>
        <w:t>dade gerenciadora atualizará o preço registrado, de acordo com a realidade dos valores praticados pelo mercado.</w:t>
      </w:r>
    </w:p>
    <w:p w14:paraId="5B97996C" w14:textId="77777777" w:rsidR="00AE0F1A" w:rsidRPr="00AE7E9B" w:rsidRDefault="00AE0F1A" w:rsidP="00AE0F1A">
      <w:pPr>
        <w:pStyle w:val="Nvel3"/>
        <w:ind w:left="567"/>
        <w:rPr>
          <w:color w:val="000000" w:themeColor="text1"/>
        </w:rPr>
      </w:pPr>
      <w:r w:rsidRPr="00AE7E9B">
        <w:rPr>
          <w:color w:val="000000" w:themeColor="text1"/>
        </w:rPr>
        <w:t xml:space="preserve"> O órgão ou en</w:t>
      </w:r>
      <w:r w:rsidRPr="00AE7E9B">
        <w:rPr>
          <w:rFonts w:eastAsia="Calibri"/>
          <w:color w:val="000000" w:themeColor="text1"/>
        </w:rPr>
        <w:t>ti</w:t>
      </w:r>
      <w:r w:rsidRPr="00AE7E9B">
        <w:rPr>
          <w:color w:val="000000" w:themeColor="text1"/>
        </w:rPr>
        <w:t>dade gerenciadora comunicará aos órgãos e às en</w:t>
      </w:r>
      <w:r w:rsidRPr="00AE7E9B">
        <w:rPr>
          <w:rFonts w:eastAsia="Calibri"/>
          <w:color w:val="000000" w:themeColor="text1"/>
        </w:rPr>
        <w:t>ti</w:t>
      </w:r>
      <w:r w:rsidRPr="00AE7E9B">
        <w:rPr>
          <w:color w:val="000000" w:themeColor="text1"/>
        </w:rPr>
        <w:t xml:space="preserve">dades que </w:t>
      </w:r>
      <w:r w:rsidRPr="00AE7E9B">
        <w:rPr>
          <w:rFonts w:eastAsia="Calibri"/>
          <w:color w:val="000000" w:themeColor="text1"/>
        </w:rPr>
        <w:t>ti</w:t>
      </w:r>
      <w:r w:rsidRPr="00AE7E9B">
        <w:rPr>
          <w:color w:val="000000" w:themeColor="text1"/>
        </w:rPr>
        <w:t>verem firmado contratos decorrentes da ata de registro de preços sobre a efe</w:t>
      </w:r>
      <w:r w:rsidRPr="00AE7E9B">
        <w:rPr>
          <w:rFonts w:eastAsia="Calibri"/>
          <w:color w:val="000000" w:themeColor="text1"/>
        </w:rPr>
        <w:t>ti</w:t>
      </w:r>
      <w:r w:rsidRPr="00AE7E9B">
        <w:rPr>
          <w:color w:val="000000" w:themeColor="text1"/>
        </w:rPr>
        <w:t>va alteração do preço registrado, para que avaliem a necessidade de alteração contratual, observado o disposto no art. 124 da Lei nº 14.133, de 2021.</w:t>
      </w:r>
    </w:p>
    <w:p w14:paraId="61E5B8D2" w14:textId="77777777" w:rsidR="00AE0F1A" w:rsidRPr="00AE7E9B" w:rsidRDefault="00AE0F1A" w:rsidP="00AE0F1A">
      <w:pPr>
        <w:pStyle w:val="Nivel01"/>
        <w:tabs>
          <w:tab w:val="clear" w:pos="567"/>
          <w:tab w:val="left" w:pos="284"/>
        </w:tabs>
        <w:rPr>
          <w:color w:val="000000" w:themeColor="text1"/>
        </w:rPr>
      </w:pPr>
      <w:r w:rsidRPr="00AE7E9B">
        <w:rPr>
          <w:color w:val="000000" w:themeColor="text1"/>
        </w:rPr>
        <w:t>REMANEJAMENTO DAS QUANTIDADES REGISTRADAS NA ATA DE REGISTRO DE PREÇOS</w:t>
      </w:r>
    </w:p>
    <w:p w14:paraId="44F04268" w14:textId="77777777" w:rsidR="00AE0F1A" w:rsidRPr="00AE7E9B" w:rsidRDefault="00AE0F1A" w:rsidP="00AE0F1A">
      <w:pPr>
        <w:pStyle w:val="Nivel2"/>
        <w:ind w:left="0"/>
        <w:rPr>
          <w:color w:val="000000" w:themeColor="text1"/>
        </w:rPr>
      </w:pPr>
      <w:r w:rsidRPr="00AE7E9B">
        <w:rPr>
          <w:color w:val="000000" w:themeColor="text1"/>
        </w:rPr>
        <w:t xml:space="preserve"> As quan</w:t>
      </w:r>
      <w:r w:rsidRPr="00AE7E9B">
        <w:rPr>
          <w:rFonts w:eastAsia="Arial"/>
          <w:color w:val="000000" w:themeColor="text1"/>
        </w:rPr>
        <w:t>ti</w:t>
      </w:r>
      <w:r w:rsidRPr="00AE7E9B">
        <w:rPr>
          <w:color w:val="000000" w:themeColor="text1"/>
        </w:rPr>
        <w:t>dades previstas para os itens com preços registrados nas atas de registro de preços poderão ser remanejadas pelo órgão ou en</w:t>
      </w:r>
      <w:r w:rsidRPr="00AE7E9B">
        <w:rPr>
          <w:rFonts w:eastAsia="Arial"/>
          <w:color w:val="000000" w:themeColor="text1"/>
        </w:rPr>
        <w:t>ti</w:t>
      </w:r>
      <w:r w:rsidRPr="00AE7E9B">
        <w:rPr>
          <w:color w:val="000000" w:themeColor="text1"/>
        </w:rPr>
        <w:t>dade gerenciadora entre os órgãos ou as en</w:t>
      </w:r>
      <w:r w:rsidRPr="00AE7E9B">
        <w:rPr>
          <w:rFonts w:eastAsia="Arial"/>
          <w:color w:val="000000" w:themeColor="text1"/>
        </w:rPr>
        <w:t>ti</w:t>
      </w:r>
      <w:r w:rsidRPr="00AE7E9B">
        <w:rPr>
          <w:color w:val="000000" w:themeColor="text1"/>
        </w:rPr>
        <w:t>dades par</w:t>
      </w:r>
      <w:r w:rsidRPr="00AE7E9B">
        <w:rPr>
          <w:rFonts w:eastAsia="Arial"/>
          <w:color w:val="000000" w:themeColor="text1"/>
        </w:rPr>
        <w:t>ti</w:t>
      </w:r>
      <w:r w:rsidRPr="00AE7E9B">
        <w:rPr>
          <w:color w:val="000000" w:themeColor="text1"/>
        </w:rPr>
        <w:t>cipantes e não par</w:t>
      </w:r>
      <w:r w:rsidRPr="00AE7E9B">
        <w:rPr>
          <w:rFonts w:eastAsia="Arial"/>
          <w:color w:val="000000" w:themeColor="text1"/>
        </w:rPr>
        <w:t>ti</w:t>
      </w:r>
      <w:r w:rsidRPr="00AE7E9B">
        <w:rPr>
          <w:color w:val="000000" w:themeColor="text1"/>
        </w:rPr>
        <w:t>cipantes do registro de preços.</w:t>
      </w:r>
    </w:p>
    <w:p w14:paraId="50305BC2" w14:textId="77777777" w:rsidR="00AE0F1A" w:rsidRPr="00AE7E9B" w:rsidRDefault="00AE0F1A" w:rsidP="00AE0F1A">
      <w:pPr>
        <w:pStyle w:val="Nivel2"/>
        <w:ind w:left="0"/>
        <w:rPr>
          <w:color w:val="000000" w:themeColor="text1"/>
        </w:rPr>
      </w:pPr>
      <w:r w:rsidRPr="00AE7E9B">
        <w:rPr>
          <w:color w:val="000000" w:themeColor="text1"/>
        </w:rPr>
        <w:t xml:space="preserve"> O remanejamento somente poderá ser feito:</w:t>
      </w:r>
    </w:p>
    <w:p w14:paraId="6A3D025B" w14:textId="77777777" w:rsidR="00AE0F1A" w:rsidRPr="00AE7E9B" w:rsidRDefault="00AE0F1A" w:rsidP="00AE0F1A">
      <w:pPr>
        <w:pStyle w:val="Nvel3"/>
        <w:ind w:left="567"/>
        <w:rPr>
          <w:color w:val="000000" w:themeColor="text1"/>
        </w:rPr>
      </w:pPr>
      <w:r w:rsidRPr="00AE7E9B">
        <w:rPr>
          <w:color w:val="000000" w:themeColor="text1"/>
        </w:rPr>
        <w:t>De órgão ou en</w:t>
      </w:r>
      <w:r w:rsidRPr="00AE7E9B">
        <w:rPr>
          <w:rFonts w:eastAsia="Arial"/>
          <w:color w:val="000000" w:themeColor="text1"/>
        </w:rPr>
        <w:t>ti</w:t>
      </w:r>
      <w:r w:rsidRPr="00AE7E9B">
        <w:rPr>
          <w:color w:val="000000" w:themeColor="text1"/>
        </w:rPr>
        <w:t>dade par</w:t>
      </w:r>
      <w:r w:rsidRPr="00AE7E9B">
        <w:rPr>
          <w:rFonts w:eastAsia="Arial"/>
          <w:color w:val="000000" w:themeColor="text1"/>
        </w:rPr>
        <w:t>ti</w:t>
      </w:r>
      <w:r w:rsidRPr="00AE7E9B">
        <w:rPr>
          <w:color w:val="000000" w:themeColor="text1"/>
        </w:rPr>
        <w:t>cipante para órgão ou en</w:t>
      </w:r>
      <w:r w:rsidRPr="00AE7E9B">
        <w:rPr>
          <w:rFonts w:eastAsia="Arial"/>
          <w:color w:val="000000" w:themeColor="text1"/>
        </w:rPr>
        <w:t>ti</w:t>
      </w:r>
      <w:r w:rsidRPr="00AE7E9B">
        <w:rPr>
          <w:color w:val="000000" w:themeColor="text1"/>
        </w:rPr>
        <w:t>dade par</w:t>
      </w:r>
      <w:r w:rsidRPr="00AE7E9B">
        <w:rPr>
          <w:rFonts w:eastAsia="Arial"/>
          <w:color w:val="000000" w:themeColor="text1"/>
        </w:rPr>
        <w:t>ti</w:t>
      </w:r>
      <w:r w:rsidRPr="00AE7E9B">
        <w:rPr>
          <w:color w:val="000000" w:themeColor="text1"/>
        </w:rPr>
        <w:t>cipante; ou</w:t>
      </w:r>
    </w:p>
    <w:p w14:paraId="419057F1" w14:textId="77777777" w:rsidR="00AE0F1A" w:rsidRPr="00AE7E9B" w:rsidRDefault="00AE0F1A" w:rsidP="00AE0F1A">
      <w:pPr>
        <w:pStyle w:val="Nvel3"/>
        <w:ind w:left="567"/>
        <w:rPr>
          <w:color w:val="000000" w:themeColor="text1"/>
        </w:rPr>
      </w:pPr>
      <w:r w:rsidRPr="00AE7E9B">
        <w:rPr>
          <w:color w:val="000000" w:themeColor="text1"/>
        </w:rPr>
        <w:t>De órgão ou en</w:t>
      </w:r>
      <w:r w:rsidRPr="00AE7E9B">
        <w:rPr>
          <w:rFonts w:eastAsia="Arial"/>
          <w:color w:val="000000" w:themeColor="text1"/>
        </w:rPr>
        <w:t>ti</w:t>
      </w:r>
      <w:r w:rsidRPr="00AE7E9B">
        <w:rPr>
          <w:color w:val="000000" w:themeColor="text1"/>
        </w:rPr>
        <w:t>dade par</w:t>
      </w:r>
      <w:r w:rsidRPr="00AE7E9B">
        <w:rPr>
          <w:rFonts w:eastAsia="Arial"/>
          <w:color w:val="000000" w:themeColor="text1"/>
        </w:rPr>
        <w:t>ti</w:t>
      </w:r>
      <w:r w:rsidRPr="00AE7E9B">
        <w:rPr>
          <w:color w:val="000000" w:themeColor="text1"/>
        </w:rPr>
        <w:t>cipante para órgão ou entidade não participante.</w:t>
      </w:r>
    </w:p>
    <w:p w14:paraId="598A8E31" w14:textId="77777777" w:rsidR="00AE0F1A" w:rsidRPr="00AE7E9B" w:rsidRDefault="00AE0F1A" w:rsidP="00AE0F1A">
      <w:pPr>
        <w:pStyle w:val="Nivel2"/>
        <w:ind w:left="0"/>
        <w:rPr>
          <w:color w:val="000000" w:themeColor="text1"/>
        </w:rPr>
      </w:pPr>
      <w:r w:rsidRPr="00AE7E9B">
        <w:rPr>
          <w:color w:val="000000" w:themeColor="text1"/>
        </w:rPr>
        <w:t>O órgão ou en</w:t>
      </w:r>
      <w:r w:rsidRPr="00AE7E9B">
        <w:rPr>
          <w:rFonts w:eastAsia="Arial"/>
          <w:color w:val="000000" w:themeColor="text1"/>
        </w:rPr>
        <w:t>ti</w:t>
      </w:r>
      <w:r w:rsidRPr="00AE7E9B">
        <w:rPr>
          <w:color w:val="000000" w:themeColor="text1"/>
        </w:rPr>
        <w:t>dade gerenciadora que tiver es</w:t>
      </w:r>
      <w:r w:rsidRPr="00AE7E9B">
        <w:rPr>
          <w:rFonts w:eastAsia="Arial"/>
          <w:color w:val="000000" w:themeColor="text1"/>
        </w:rPr>
        <w:t>ti</w:t>
      </w:r>
      <w:r w:rsidRPr="00AE7E9B">
        <w:rPr>
          <w:color w:val="000000" w:themeColor="text1"/>
        </w:rPr>
        <w:t>mado as quan</w:t>
      </w:r>
      <w:r w:rsidRPr="00AE7E9B">
        <w:rPr>
          <w:rFonts w:eastAsia="Arial"/>
          <w:color w:val="000000" w:themeColor="text1"/>
        </w:rPr>
        <w:t>ti</w:t>
      </w:r>
      <w:r w:rsidRPr="00AE7E9B">
        <w:rPr>
          <w:color w:val="000000" w:themeColor="text1"/>
        </w:rPr>
        <w:t>dades que pretende contratar será considerado participante para efeito do remanejamento.</w:t>
      </w:r>
      <w:bookmarkStart w:id="9" w:name="gerenciador_estimador_é_partic_em_remane"/>
      <w:bookmarkEnd w:id="9"/>
    </w:p>
    <w:p w14:paraId="337DDF3E" w14:textId="77777777" w:rsidR="00AE0F1A" w:rsidRPr="00AE7E9B" w:rsidRDefault="00AE0F1A" w:rsidP="00AE0F1A">
      <w:pPr>
        <w:pStyle w:val="Nivel2"/>
        <w:ind w:left="0"/>
        <w:rPr>
          <w:color w:val="000000" w:themeColor="text1"/>
        </w:rPr>
      </w:pPr>
      <w:r w:rsidRPr="00AE7E9B">
        <w:rPr>
          <w:color w:val="000000" w:themeColor="text1"/>
        </w:rPr>
        <w:t>Na hipótese de remanejamento de órgão ou entidade par</w:t>
      </w:r>
      <w:r w:rsidRPr="00AE7E9B">
        <w:rPr>
          <w:rFonts w:eastAsia="Arial"/>
          <w:color w:val="000000" w:themeColor="text1"/>
        </w:rPr>
        <w:t>ti</w:t>
      </w:r>
      <w:r w:rsidRPr="00AE7E9B">
        <w:rPr>
          <w:color w:val="000000" w:themeColor="text1"/>
        </w:rPr>
        <w:t>cipante para órgão ou entidade não participante, serão observados os limites previstos no art. 32 do Decreto nº 11.462, de 2023.</w:t>
      </w:r>
    </w:p>
    <w:p w14:paraId="7EEA2782" w14:textId="77777777" w:rsidR="00AE0F1A" w:rsidRPr="00AE7E9B" w:rsidRDefault="00AE0F1A" w:rsidP="00AE0F1A">
      <w:pPr>
        <w:pStyle w:val="Nivel2"/>
        <w:ind w:left="0"/>
        <w:rPr>
          <w:color w:val="000000" w:themeColor="text1"/>
        </w:rPr>
      </w:pPr>
      <w:r w:rsidRPr="00AE7E9B">
        <w:rPr>
          <w:color w:val="000000" w:themeColor="text1"/>
        </w:rPr>
        <w:t>Competirá ao órgão ou à en</w:t>
      </w:r>
      <w:r w:rsidRPr="00AE7E9B">
        <w:rPr>
          <w:rFonts w:eastAsia="Arial"/>
          <w:color w:val="000000" w:themeColor="text1"/>
        </w:rPr>
        <w:t>ti</w:t>
      </w:r>
      <w:r w:rsidRPr="00AE7E9B">
        <w:rPr>
          <w:color w:val="000000" w:themeColor="text1"/>
        </w:rPr>
        <w:t>dade gerenciadora autorizar o remanejamento solicitado, com a redução do quan</w:t>
      </w:r>
      <w:r w:rsidRPr="00AE7E9B">
        <w:rPr>
          <w:rFonts w:eastAsia="Arial"/>
          <w:color w:val="000000" w:themeColor="text1"/>
        </w:rPr>
        <w:t>ti</w:t>
      </w:r>
      <w:r w:rsidRPr="00AE7E9B">
        <w:rPr>
          <w:color w:val="000000" w:themeColor="text1"/>
        </w:rPr>
        <w:t>ta</w:t>
      </w:r>
      <w:r w:rsidRPr="00AE7E9B">
        <w:rPr>
          <w:rFonts w:eastAsia="Arial"/>
          <w:color w:val="000000" w:themeColor="text1"/>
        </w:rPr>
        <w:t>ti</w:t>
      </w:r>
      <w:r w:rsidRPr="00AE7E9B">
        <w:rPr>
          <w:color w:val="000000" w:themeColor="text1"/>
        </w:rPr>
        <w:t>vo inicialmente informado pelo órgão ou pela en</w:t>
      </w:r>
      <w:r w:rsidRPr="00AE7E9B">
        <w:rPr>
          <w:rFonts w:eastAsia="Arial"/>
          <w:color w:val="000000" w:themeColor="text1"/>
        </w:rPr>
        <w:t>ti</w:t>
      </w:r>
      <w:r w:rsidRPr="00AE7E9B">
        <w:rPr>
          <w:color w:val="000000" w:themeColor="text1"/>
        </w:rPr>
        <w:t>dade par</w:t>
      </w:r>
      <w:r w:rsidRPr="00AE7E9B">
        <w:rPr>
          <w:rFonts w:eastAsia="Arial"/>
          <w:color w:val="000000" w:themeColor="text1"/>
        </w:rPr>
        <w:t>ti</w:t>
      </w:r>
      <w:r w:rsidRPr="00AE7E9B">
        <w:rPr>
          <w:color w:val="000000" w:themeColor="text1"/>
        </w:rPr>
        <w:t>cipante, desde que haja prévia anuência do órgão ou da en</w:t>
      </w:r>
      <w:r w:rsidRPr="00AE7E9B">
        <w:rPr>
          <w:rFonts w:eastAsia="Arial"/>
          <w:color w:val="000000" w:themeColor="text1"/>
        </w:rPr>
        <w:t>ti</w:t>
      </w:r>
      <w:r w:rsidRPr="00AE7E9B">
        <w:rPr>
          <w:color w:val="000000" w:themeColor="text1"/>
        </w:rPr>
        <w:t>dade que sofrer redução dos quantitativos informados.</w:t>
      </w:r>
    </w:p>
    <w:p w14:paraId="77FAAC32" w14:textId="77777777" w:rsidR="00AE0F1A" w:rsidRPr="00AE7E9B" w:rsidRDefault="00AE0F1A" w:rsidP="00AE0F1A">
      <w:pPr>
        <w:pStyle w:val="Nivel2"/>
        <w:ind w:left="0"/>
        <w:rPr>
          <w:color w:val="000000" w:themeColor="text1"/>
        </w:rPr>
      </w:pPr>
      <w:r w:rsidRPr="00AE7E9B">
        <w:rPr>
          <w:color w:val="000000" w:themeColor="text1"/>
        </w:rPr>
        <w:t>Caso o remanejamento seja feito entre órgãos ou en</w:t>
      </w:r>
      <w:r w:rsidRPr="00AE7E9B">
        <w:rPr>
          <w:rFonts w:eastAsia="Arial"/>
          <w:color w:val="000000" w:themeColor="text1"/>
        </w:rPr>
        <w:t>ti</w:t>
      </w:r>
      <w:r w:rsidRPr="00AE7E9B">
        <w:rPr>
          <w:color w:val="000000" w:themeColor="text1"/>
        </w:rPr>
        <w:t>dades dos Estados, do Distrito Federal ou de Municípios dis</w:t>
      </w:r>
      <w:r w:rsidRPr="00AE7E9B">
        <w:rPr>
          <w:rFonts w:eastAsia="Arial"/>
          <w:color w:val="000000" w:themeColor="text1"/>
        </w:rPr>
        <w:t>ti</w:t>
      </w:r>
      <w:r w:rsidRPr="00AE7E9B">
        <w:rPr>
          <w:color w:val="000000" w:themeColor="text1"/>
        </w:rPr>
        <w:t>ntos, caberá ao fornecedor beneficiário da ata de registro de preços, observadas as condições nela estabelecidas, optar pela aceitação ou não do fornecimento decorrente do remanejamento dos itens.</w:t>
      </w:r>
    </w:p>
    <w:p w14:paraId="66ACF1AC" w14:textId="77777777" w:rsidR="00AE0F1A" w:rsidRPr="00AE7E9B" w:rsidRDefault="00AE0F1A" w:rsidP="00AE0F1A">
      <w:pPr>
        <w:pStyle w:val="Nivel2"/>
        <w:ind w:left="0"/>
        <w:rPr>
          <w:color w:val="000000" w:themeColor="text1"/>
        </w:rPr>
      </w:pPr>
      <w:r w:rsidRPr="00AE7E9B">
        <w:rPr>
          <w:color w:val="000000" w:themeColor="text1"/>
        </w:rPr>
        <w:t>Na hipótese da compra centralizada, não havendo indicação pelo órgão ou pela en</w:t>
      </w:r>
      <w:r w:rsidRPr="00AE7E9B">
        <w:rPr>
          <w:rFonts w:eastAsia="Arial"/>
          <w:color w:val="000000" w:themeColor="text1"/>
        </w:rPr>
        <w:t>ti</w:t>
      </w:r>
      <w:r w:rsidRPr="00AE7E9B">
        <w:rPr>
          <w:color w:val="000000" w:themeColor="text1"/>
        </w:rPr>
        <w:t>dade gerenciadora, dos quan</w:t>
      </w:r>
      <w:r w:rsidRPr="00AE7E9B">
        <w:rPr>
          <w:rFonts w:eastAsia="Arial"/>
          <w:color w:val="000000" w:themeColor="text1"/>
        </w:rPr>
        <w:t>ti</w:t>
      </w:r>
      <w:r w:rsidRPr="00AE7E9B">
        <w:rPr>
          <w:color w:val="000000" w:themeColor="text1"/>
        </w:rPr>
        <w:t>ta</w:t>
      </w:r>
      <w:r w:rsidRPr="00AE7E9B">
        <w:rPr>
          <w:rFonts w:eastAsia="Arial"/>
          <w:color w:val="000000" w:themeColor="text1"/>
        </w:rPr>
        <w:t>ti</w:t>
      </w:r>
      <w:r w:rsidRPr="00AE7E9B">
        <w:rPr>
          <w:color w:val="000000" w:themeColor="text1"/>
        </w:rPr>
        <w:t>vos dos par</w:t>
      </w:r>
      <w:r w:rsidRPr="00AE7E9B">
        <w:rPr>
          <w:rFonts w:eastAsia="Arial"/>
          <w:color w:val="000000" w:themeColor="text1"/>
        </w:rPr>
        <w:t>ti</w:t>
      </w:r>
      <w:r w:rsidRPr="00AE7E9B">
        <w:rPr>
          <w:color w:val="000000" w:themeColor="text1"/>
        </w:rPr>
        <w:t xml:space="preserve">cipantes da compra centralizada, nos termos do item </w:t>
      </w:r>
      <w:r w:rsidRPr="00AE7E9B">
        <w:rPr>
          <w:color w:val="000000" w:themeColor="text1"/>
        </w:rPr>
        <w:fldChar w:fldCharType="begin"/>
      </w:r>
      <w:r w:rsidRPr="00AE7E9B">
        <w:rPr>
          <w:color w:val="000000" w:themeColor="text1"/>
        </w:rPr>
        <w:instrText xml:space="preserve"> REF gerenciador_estimador_é_partic_em_remane \r \h  \* MERGEFORMAT </w:instrText>
      </w:r>
      <w:r w:rsidRPr="00AE7E9B">
        <w:rPr>
          <w:color w:val="000000" w:themeColor="text1"/>
        </w:rPr>
      </w:r>
      <w:r w:rsidRPr="00AE7E9B">
        <w:rPr>
          <w:color w:val="000000" w:themeColor="text1"/>
        </w:rPr>
        <w:fldChar w:fldCharType="separate"/>
      </w:r>
      <w:r w:rsidRPr="00AE7E9B">
        <w:rPr>
          <w:color w:val="000000" w:themeColor="text1"/>
        </w:rPr>
        <w:t>8.3</w:t>
      </w:r>
      <w:r w:rsidRPr="00AE7E9B">
        <w:rPr>
          <w:color w:val="000000" w:themeColor="text1"/>
        </w:rPr>
        <w:fldChar w:fldCharType="end"/>
      </w:r>
      <w:r w:rsidRPr="00AE7E9B">
        <w:rPr>
          <w:color w:val="000000" w:themeColor="text1"/>
        </w:rPr>
        <w:t>, a distribuição das quantidades para a execução descentralizada será por meio do remanejamento.</w:t>
      </w:r>
    </w:p>
    <w:p w14:paraId="13C048E6" w14:textId="77777777" w:rsidR="00AE0F1A" w:rsidRPr="00AE7E9B" w:rsidRDefault="00AE0F1A" w:rsidP="00AE0F1A">
      <w:pPr>
        <w:pStyle w:val="Nivel01"/>
        <w:tabs>
          <w:tab w:val="clear" w:pos="567"/>
          <w:tab w:val="left" w:pos="284"/>
        </w:tabs>
        <w:rPr>
          <w:iCs/>
          <w:color w:val="000000" w:themeColor="text1"/>
        </w:rPr>
      </w:pPr>
      <w:r w:rsidRPr="00AE7E9B">
        <w:rPr>
          <w:color w:val="000000" w:themeColor="text1"/>
        </w:rPr>
        <w:t>CANCELAMENTO DO REGISTRO DO LICITANTE VENCEDOR E DOS PREÇOS REGISTRADOS</w:t>
      </w:r>
      <w:bookmarkStart w:id="10" w:name="cancelamento"/>
      <w:bookmarkEnd w:id="10"/>
    </w:p>
    <w:p w14:paraId="52B96B3B" w14:textId="77777777" w:rsidR="00AE0F1A" w:rsidRPr="00AE7E9B" w:rsidRDefault="00AE0F1A" w:rsidP="00AE0F1A">
      <w:pPr>
        <w:pStyle w:val="Nivel2"/>
        <w:ind w:left="0"/>
        <w:rPr>
          <w:color w:val="000000" w:themeColor="text1"/>
        </w:rPr>
      </w:pPr>
      <w:r w:rsidRPr="00AE7E9B">
        <w:rPr>
          <w:color w:val="000000" w:themeColor="text1"/>
        </w:rPr>
        <w:t>O registro do fornecedor será cancelado pelo gerenciador, quando o fornecedor:</w:t>
      </w:r>
      <w:bookmarkStart w:id="11" w:name="cancelamento_do_fornecedor"/>
      <w:bookmarkEnd w:id="11"/>
    </w:p>
    <w:p w14:paraId="2E53A1CF" w14:textId="77777777" w:rsidR="00AE0F1A" w:rsidRPr="00AE7E9B" w:rsidRDefault="00AE0F1A" w:rsidP="00AE0F1A">
      <w:pPr>
        <w:pStyle w:val="Nvel3"/>
        <w:ind w:left="567"/>
        <w:rPr>
          <w:color w:val="000000" w:themeColor="text1"/>
        </w:rPr>
      </w:pPr>
      <w:r w:rsidRPr="00AE7E9B">
        <w:rPr>
          <w:color w:val="000000" w:themeColor="text1"/>
        </w:rPr>
        <w:lastRenderedPageBreak/>
        <w:t>Descumprir as condições da ata de registro de preços, sem motivo justificado;</w:t>
      </w:r>
    </w:p>
    <w:p w14:paraId="597340D7" w14:textId="77777777" w:rsidR="00AE0F1A" w:rsidRPr="00AE7E9B" w:rsidRDefault="00AE0F1A" w:rsidP="00AE0F1A">
      <w:pPr>
        <w:pStyle w:val="Nvel3"/>
        <w:ind w:left="567"/>
        <w:rPr>
          <w:color w:val="000000" w:themeColor="text1"/>
        </w:rPr>
      </w:pPr>
      <w:r w:rsidRPr="00AE7E9B">
        <w:rPr>
          <w:color w:val="000000" w:themeColor="text1"/>
        </w:rPr>
        <w:t>Não re</w:t>
      </w:r>
      <w:r w:rsidRPr="00AE7E9B">
        <w:rPr>
          <w:rFonts w:eastAsia="Arial"/>
          <w:color w:val="000000" w:themeColor="text1"/>
        </w:rPr>
        <w:t>ti</w:t>
      </w:r>
      <w:r w:rsidRPr="00AE7E9B">
        <w:rPr>
          <w:color w:val="000000" w:themeColor="text1"/>
        </w:rPr>
        <w:t>rar a nota de empenho, ou instrumento equivalente, no prazo estabelecido pela Administração sem justificativa razoável;</w:t>
      </w:r>
    </w:p>
    <w:p w14:paraId="358B4C40" w14:textId="77777777" w:rsidR="00AE0F1A" w:rsidRPr="00AE7E9B" w:rsidRDefault="00AE0F1A" w:rsidP="00AE0F1A">
      <w:pPr>
        <w:pStyle w:val="Nvel3"/>
        <w:ind w:left="567"/>
        <w:rPr>
          <w:color w:val="000000" w:themeColor="text1"/>
        </w:rPr>
      </w:pPr>
      <w:r w:rsidRPr="00AE7E9B">
        <w:rPr>
          <w:color w:val="000000" w:themeColor="text1"/>
        </w:rPr>
        <w:t>Não aceitar manter seu preço registrado, na hipótese prevista no artigo 27, § 2º, do Decreto nº 11.462, de 2023; ou</w:t>
      </w:r>
    </w:p>
    <w:p w14:paraId="3BF90C6A" w14:textId="77777777" w:rsidR="00AE0F1A" w:rsidRPr="00AE7E9B" w:rsidRDefault="00AE0F1A" w:rsidP="00AE0F1A">
      <w:pPr>
        <w:pStyle w:val="Nvel3"/>
        <w:ind w:left="567"/>
        <w:rPr>
          <w:color w:val="000000" w:themeColor="text1"/>
        </w:rPr>
      </w:pPr>
      <w:r w:rsidRPr="00AE7E9B">
        <w:rPr>
          <w:color w:val="000000" w:themeColor="text1"/>
        </w:rPr>
        <w:t xml:space="preserve"> Sofrer sanção prevista nos incisos III ou IV do caput do art. 156 da Lei nº 14.133, de 2021.</w:t>
      </w:r>
    </w:p>
    <w:p w14:paraId="5C5E1E31" w14:textId="77777777" w:rsidR="00AE0F1A" w:rsidRPr="00AE7E9B" w:rsidRDefault="00AE0F1A" w:rsidP="00AE0F1A">
      <w:pPr>
        <w:pStyle w:val="Nvel4"/>
        <w:ind w:left="851"/>
        <w:rPr>
          <w:color w:val="000000" w:themeColor="text1"/>
        </w:rPr>
      </w:pPr>
      <w:r w:rsidRPr="00AE7E9B">
        <w:rPr>
          <w:color w:val="000000" w:themeColor="text1"/>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21B915EB" w14:textId="77777777" w:rsidR="00AE0F1A" w:rsidRPr="00AE7E9B" w:rsidRDefault="00AE0F1A" w:rsidP="00AE0F1A">
      <w:pPr>
        <w:pStyle w:val="Nivel2"/>
        <w:ind w:left="0"/>
        <w:rPr>
          <w:color w:val="000000" w:themeColor="text1"/>
        </w:rPr>
      </w:pPr>
      <w:r w:rsidRPr="00AE7E9B">
        <w:rPr>
          <w:color w:val="000000" w:themeColor="text1"/>
        </w:rPr>
        <w:t xml:space="preserve"> O cancelamento de registros nas hipóteses previstas no item 9.1 será formalizado por despacho do órgão ou da entidade gerenciadora, garantidos os princípios do contraditório e da ampla defesa.</w:t>
      </w:r>
    </w:p>
    <w:p w14:paraId="548AA339" w14:textId="77777777" w:rsidR="00AE0F1A" w:rsidRPr="00AE7E9B" w:rsidRDefault="00AE0F1A" w:rsidP="00AE0F1A">
      <w:pPr>
        <w:pStyle w:val="Nivel2"/>
        <w:ind w:left="0"/>
        <w:rPr>
          <w:color w:val="000000" w:themeColor="text1"/>
        </w:rPr>
      </w:pPr>
      <w:r w:rsidRPr="00AE7E9B">
        <w:rPr>
          <w:color w:val="000000" w:themeColor="text1"/>
        </w:rPr>
        <w:t>Na hipótese de cancelamento do registro do fornecedor, o órgão ou a entidade gerenciadora poderá convocar os licitantes que compõem o cadastro de reserva, observada a ordem de classificação.</w:t>
      </w:r>
    </w:p>
    <w:p w14:paraId="65A4AD27" w14:textId="77777777" w:rsidR="00AE0F1A" w:rsidRPr="00AE7E9B" w:rsidRDefault="00AE0F1A" w:rsidP="00AE0F1A">
      <w:pPr>
        <w:pStyle w:val="Nivel2"/>
        <w:ind w:left="0"/>
        <w:rPr>
          <w:color w:val="000000" w:themeColor="text1"/>
        </w:rPr>
      </w:pPr>
      <w:r w:rsidRPr="00AE7E9B">
        <w:rPr>
          <w:color w:val="000000" w:themeColor="text1"/>
        </w:rPr>
        <w:t>O cancelamento dos preços registrados poderá ser realizado pelo gerenciador, em determinada ata de registro de preços, total ou parcialmente, nas seguintes hipóteses, desde que devidamente comprovadas e justificadas:</w:t>
      </w:r>
      <w:bookmarkStart w:id="12" w:name="cancelamento_da_ata"/>
      <w:bookmarkEnd w:id="12"/>
      <w:r w:rsidRPr="00AE7E9B">
        <w:rPr>
          <w:color w:val="000000" w:themeColor="text1"/>
        </w:rPr>
        <w:t xml:space="preserve"> </w:t>
      </w:r>
    </w:p>
    <w:p w14:paraId="79939D23" w14:textId="77777777" w:rsidR="00AE0F1A" w:rsidRPr="00AE7E9B" w:rsidRDefault="00AE0F1A" w:rsidP="00AE0F1A">
      <w:pPr>
        <w:pStyle w:val="Nvel3"/>
        <w:ind w:left="567"/>
        <w:rPr>
          <w:color w:val="000000" w:themeColor="text1"/>
        </w:rPr>
      </w:pPr>
      <w:r w:rsidRPr="00AE7E9B">
        <w:rPr>
          <w:color w:val="000000" w:themeColor="text1"/>
        </w:rPr>
        <w:t>Por razão de interesse público;</w:t>
      </w:r>
    </w:p>
    <w:p w14:paraId="2F003E1A" w14:textId="77777777" w:rsidR="00AE0F1A" w:rsidRPr="00AE7E9B" w:rsidRDefault="00AE0F1A" w:rsidP="00AE0F1A">
      <w:pPr>
        <w:pStyle w:val="Nvel3-R"/>
        <w:ind w:left="567"/>
        <w:rPr>
          <w:i w:val="0"/>
          <w:iCs w:val="0"/>
          <w:color w:val="000000" w:themeColor="text1"/>
        </w:rPr>
      </w:pPr>
      <w:r w:rsidRPr="00AE7E9B">
        <w:rPr>
          <w:i w:val="0"/>
          <w:iCs w:val="0"/>
          <w:color w:val="000000" w:themeColor="text1"/>
        </w:rPr>
        <w:t>A pedido do fornecedor, decorrente de caso fortuito ou força maior; ou</w:t>
      </w:r>
    </w:p>
    <w:p w14:paraId="375B44FC" w14:textId="77777777" w:rsidR="00AE0F1A" w:rsidRPr="00AE7E9B" w:rsidRDefault="00AE0F1A" w:rsidP="00AE0F1A">
      <w:pPr>
        <w:pStyle w:val="Nvel3"/>
        <w:ind w:left="567"/>
        <w:rPr>
          <w:color w:val="000000" w:themeColor="text1"/>
        </w:rPr>
      </w:pPr>
      <w:r w:rsidRPr="00AE7E9B">
        <w:rPr>
          <w:color w:val="000000" w:themeColor="text1"/>
        </w:rPr>
        <w:t xml:space="preserve">Se não houver êxito nas negociações, nas hipóteses em que o preço de mercado </w:t>
      </w:r>
      <w:proofErr w:type="gramStart"/>
      <w:r w:rsidRPr="00AE7E9B">
        <w:rPr>
          <w:color w:val="000000" w:themeColor="text1"/>
        </w:rPr>
        <w:t>tornar-se</w:t>
      </w:r>
      <w:proofErr w:type="gramEnd"/>
      <w:r w:rsidRPr="00AE7E9B">
        <w:rPr>
          <w:color w:val="000000" w:themeColor="text1"/>
        </w:rPr>
        <w:t xml:space="preserve"> superior ou inferior ao preço registrado, nos termos dos artigos 26, § 3º e 27, § 4º, ambos do Decreto nº 11.462, de 2023. </w:t>
      </w:r>
    </w:p>
    <w:p w14:paraId="437253B5" w14:textId="77777777" w:rsidR="00AE0F1A" w:rsidRPr="00AE7E9B" w:rsidRDefault="00AE0F1A" w:rsidP="00AE0F1A">
      <w:pPr>
        <w:pStyle w:val="Nivel01"/>
        <w:tabs>
          <w:tab w:val="clear" w:pos="567"/>
          <w:tab w:val="left" w:pos="284"/>
        </w:tabs>
        <w:rPr>
          <w:color w:val="000000" w:themeColor="text1"/>
        </w:rPr>
      </w:pPr>
      <w:r w:rsidRPr="00AE7E9B">
        <w:rPr>
          <w:color w:val="000000" w:themeColor="text1"/>
        </w:rPr>
        <w:t>DAS PENALIDADES</w:t>
      </w:r>
    </w:p>
    <w:p w14:paraId="140230A1" w14:textId="77777777" w:rsidR="00AE0F1A" w:rsidRPr="00AE7E9B" w:rsidRDefault="00AE0F1A" w:rsidP="00AE0F1A">
      <w:pPr>
        <w:pStyle w:val="Nivel2"/>
        <w:ind w:left="0"/>
        <w:rPr>
          <w:color w:val="000000" w:themeColor="text1"/>
        </w:rPr>
      </w:pPr>
      <w:r w:rsidRPr="00AE7E9B">
        <w:rPr>
          <w:color w:val="000000" w:themeColor="text1"/>
        </w:rPr>
        <w:t xml:space="preserve">O descumprimento da Ata de Registro de Preços ensejará aplicação das penalidades estabelecidas </w:t>
      </w:r>
      <w:r w:rsidRPr="00AE7E9B">
        <w:rPr>
          <w:iCs/>
          <w:color w:val="000000" w:themeColor="text1"/>
        </w:rPr>
        <w:t>no</w:t>
      </w:r>
      <w:r w:rsidRPr="00AE7E9B">
        <w:rPr>
          <w:i/>
          <w:color w:val="000000" w:themeColor="text1"/>
        </w:rPr>
        <w:t xml:space="preserve"> </w:t>
      </w:r>
      <w:r w:rsidRPr="00AE7E9B">
        <w:rPr>
          <w:color w:val="000000" w:themeColor="text1"/>
        </w:rPr>
        <w:t>Edital de Licitação ou Aviso de Contratação Direta.</w:t>
      </w:r>
    </w:p>
    <w:p w14:paraId="33105D37" w14:textId="77777777" w:rsidR="00AE0F1A" w:rsidRPr="00AE7E9B" w:rsidRDefault="00AE0F1A" w:rsidP="00AE0F1A">
      <w:pPr>
        <w:pStyle w:val="Nvel3"/>
        <w:ind w:left="567"/>
        <w:rPr>
          <w:color w:val="000000" w:themeColor="text1"/>
        </w:rPr>
      </w:pPr>
      <w:r w:rsidRPr="00AE7E9B">
        <w:rPr>
          <w:color w:val="000000" w:themeColor="text1"/>
        </w:rPr>
        <w:t xml:space="preserve">As sanções também se aplicam aos integrantes do cadastro de reserva no registro de preços que, convocados, não honrarem o compromisso assumido injustificadamente após terem assinado a ata. </w:t>
      </w:r>
    </w:p>
    <w:p w14:paraId="15D4E0D3" w14:textId="77777777" w:rsidR="00AE0F1A" w:rsidRPr="00AE7E9B" w:rsidRDefault="00AE0F1A" w:rsidP="00AE0F1A">
      <w:pPr>
        <w:pStyle w:val="Nivel2"/>
        <w:ind w:left="0"/>
        <w:rPr>
          <w:color w:val="000000" w:themeColor="text1"/>
        </w:rPr>
      </w:pPr>
      <w:r w:rsidRPr="00AE7E9B">
        <w:rPr>
          <w:color w:val="000000" w:themeColor="text1"/>
        </w:rPr>
        <w:t>É da competência do gerenciador a aplicação das penalidades decorrentes do descumprimento do pactuado nesta ata de registro de preço (art. 7º, XIV, do Decreto nº 11.462, de 2023), exceto nas hipóteses em que o descumprimento disser respeito às contratações dos órgãos ou entidade participante, caso no qual caberá ao respectivo órgão participante a aplicação da penalidade (art. 8º, IX, do Decreto nº 11.462, de 2023).</w:t>
      </w:r>
    </w:p>
    <w:p w14:paraId="22C1A9F7" w14:textId="77777777" w:rsidR="00AE0F1A" w:rsidRPr="00AE7E9B" w:rsidRDefault="00AE0F1A" w:rsidP="00AE0F1A">
      <w:pPr>
        <w:pStyle w:val="Nivel2"/>
        <w:ind w:left="0"/>
        <w:rPr>
          <w:color w:val="000000" w:themeColor="text1"/>
        </w:rPr>
      </w:pPr>
      <w:r w:rsidRPr="00AE7E9B">
        <w:rPr>
          <w:color w:val="000000" w:themeColor="text1"/>
        </w:rPr>
        <w:lastRenderedPageBreak/>
        <w:t>O órgão ou entidade participante deverá comunicar ao órgão gerenciador qualquer das ocorrências previstas no item 9.1., dada a necessidade de instauração de procedimento para cancelamento do registro do fornecedor.</w:t>
      </w:r>
    </w:p>
    <w:p w14:paraId="7AA21BC1" w14:textId="77777777" w:rsidR="00AE0F1A" w:rsidRPr="00AE7E9B" w:rsidRDefault="00AE0F1A" w:rsidP="00AE0F1A">
      <w:pPr>
        <w:pStyle w:val="Nivel01"/>
        <w:tabs>
          <w:tab w:val="clear" w:pos="567"/>
          <w:tab w:val="left" w:pos="284"/>
        </w:tabs>
        <w:rPr>
          <w:color w:val="000000" w:themeColor="text1"/>
        </w:rPr>
      </w:pPr>
      <w:r w:rsidRPr="00AE7E9B">
        <w:rPr>
          <w:color w:val="000000" w:themeColor="text1"/>
        </w:rPr>
        <w:t>CONDIÇÕES GERAIS</w:t>
      </w:r>
    </w:p>
    <w:p w14:paraId="380FAFB4" w14:textId="77777777" w:rsidR="00AE0F1A" w:rsidRPr="00AE7E9B" w:rsidRDefault="00AE0F1A" w:rsidP="00AE0F1A">
      <w:pPr>
        <w:pStyle w:val="Nivel2"/>
        <w:ind w:left="0"/>
        <w:rPr>
          <w:color w:val="000000" w:themeColor="text1"/>
        </w:rPr>
      </w:pPr>
      <w:r w:rsidRPr="00AE7E9B">
        <w:rPr>
          <w:color w:val="000000" w:themeColor="text1"/>
        </w:rPr>
        <w:t>As condições gerais de execução do objeto, tais como os prazos para entrega e recebimento, as obrigações da Administração e do fornecedor registrado, penalidades e demais condições do ajuste, encontram-se definidos no Termo de Referência, anexo ao</w:t>
      </w:r>
      <w:r w:rsidRPr="00AE7E9B">
        <w:rPr>
          <w:i/>
          <w:color w:val="000000" w:themeColor="text1"/>
        </w:rPr>
        <w:t xml:space="preserve"> </w:t>
      </w:r>
      <w:r w:rsidRPr="00AE7E9B">
        <w:rPr>
          <w:color w:val="000000" w:themeColor="text1"/>
        </w:rPr>
        <w:t>Edital de Licitação ou Aviso de Contratação Direta.</w:t>
      </w:r>
    </w:p>
    <w:p w14:paraId="4CD45825" w14:textId="77777777" w:rsidR="00AE0F1A" w:rsidRPr="00AE7E9B" w:rsidRDefault="00AE0F1A" w:rsidP="00AE0F1A">
      <w:pPr>
        <w:pStyle w:val="Nvel2-Red"/>
        <w:ind w:left="0"/>
        <w:rPr>
          <w:i w:val="0"/>
          <w:color w:val="000000" w:themeColor="text1"/>
        </w:rPr>
      </w:pPr>
      <w:r w:rsidRPr="00AE7E9B">
        <w:rPr>
          <w:i w:val="0"/>
          <w:color w:val="000000" w:themeColor="text1"/>
        </w:rPr>
        <w:t>No caso de adjudicação por preço global de grupo de itens, só será admitida a contratação de parte de itens do grupo se houver prévia pesquisa de mercado e demonstração de sua vantagem para o órgão ou a entidade.</w:t>
      </w:r>
    </w:p>
    <w:p w14:paraId="09464F6C" w14:textId="77777777" w:rsidR="00AE0F1A" w:rsidRPr="00AE7E9B" w:rsidRDefault="00AE0F1A" w:rsidP="00AE0F1A">
      <w:pPr>
        <w:autoSpaceDE w:val="0"/>
        <w:autoSpaceDN w:val="0"/>
        <w:adjustRightInd w:val="0"/>
        <w:spacing w:before="120" w:after="120" w:line="276" w:lineRule="auto"/>
        <w:jc w:val="both"/>
        <w:rPr>
          <w:rFonts w:ascii="Arial" w:hAnsi="Arial" w:cs="Arial"/>
          <w:color w:val="000000" w:themeColor="text1"/>
          <w:sz w:val="20"/>
          <w:szCs w:val="20"/>
        </w:rPr>
      </w:pPr>
      <w:r w:rsidRPr="00AE7E9B">
        <w:rPr>
          <w:rFonts w:ascii="Arial" w:hAnsi="Arial" w:cs="Arial"/>
          <w:color w:val="000000" w:themeColor="text1"/>
          <w:sz w:val="20"/>
          <w:szCs w:val="20"/>
        </w:rPr>
        <w:t>Para firmeza e validade do pactuado, a presente Ata foi lavrada em 2 vias de igual teor, que, depois de lida e achada em ordem, vai assinada pelas partes.</w:t>
      </w:r>
    </w:p>
    <w:p w14:paraId="69619CC0" w14:textId="77777777" w:rsidR="00AE0F1A" w:rsidRPr="00AE7E9B" w:rsidRDefault="00AE0F1A" w:rsidP="00AE0F1A">
      <w:pPr>
        <w:autoSpaceDE w:val="0"/>
        <w:autoSpaceDN w:val="0"/>
        <w:adjustRightInd w:val="0"/>
        <w:spacing w:before="120" w:after="120" w:line="276" w:lineRule="auto"/>
        <w:jc w:val="both"/>
        <w:rPr>
          <w:rFonts w:ascii="Arial" w:hAnsi="Arial" w:cs="Arial"/>
          <w:i/>
          <w:iCs/>
          <w:color w:val="000000" w:themeColor="text1"/>
          <w:sz w:val="20"/>
          <w:szCs w:val="20"/>
        </w:rPr>
      </w:pPr>
    </w:p>
    <w:p w14:paraId="60C76CA1"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r w:rsidRPr="00AE7E9B">
        <w:rPr>
          <w:rFonts w:ascii="Arial" w:hAnsi="Arial" w:cs="Arial"/>
          <w:color w:val="000000" w:themeColor="text1"/>
          <w:sz w:val="20"/>
          <w:szCs w:val="20"/>
        </w:rPr>
        <w:t>Sapucaia do Sul, &lt;=</w:t>
      </w:r>
      <w:proofErr w:type="spellStart"/>
      <w:r w:rsidRPr="00AE7E9B">
        <w:rPr>
          <w:rFonts w:ascii="Arial" w:hAnsi="Arial" w:cs="Arial"/>
          <w:color w:val="000000" w:themeColor="text1"/>
          <w:sz w:val="20"/>
          <w:szCs w:val="20"/>
        </w:rPr>
        <w:t>contrato_data_emissao</w:t>
      </w:r>
      <w:proofErr w:type="spellEnd"/>
      <w:r w:rsidRPr="00AE7E9B">
        <w:rPr>
          <w:rFonts w:ascii="Arial" w:hAnsi="Arial" w:cs="Arial"/>
          <w:color w:val="000000" w:themeColor="text1"/>
          <w:sz w:val="20"/>
          <w:szCs w:val="20"/>
        </w:rPr>
        <w:t>&gt;</w:t>
      </w:r>
    </w:p>
    <w:p w14:paraId="5D9F587E" w14:textId="77777777" w:rsidR="00AE0F1A" w:rsidRPr="00AE7E9B" w:rsidRDefault="00AE0F1A" w:rsidP="00AE0F1A">
      <w:pPr>
        <w:autoSpaceDE w:val="0"/>
        <w:autoSpaceDN w:val="0"/>
        <w:adjustRightInd w:val="0"/>
        <w:spacing w:line="360" w:lineRule="auto"/>
        <w:ind w:right="-30"/>
        <w:rPr>
          <w:rFonts w:ascii="Arial" w:hAnsi="Arial" w:cs="Arial"/>
          <w:color w:val="000000" w:themeColor="text1"/>
          <w:sz w:val="20"/>
          <w:szCs w:val="20"/>
        </w:rPr>
      </w:pPr>
    </w:p>
    <w:p w14:paraId="4512CB37"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p>
    <w:p w14:paraId="7D0AD6F7"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p>
    <w:p w14:paraId="23E5C7B4"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r w:rsidRPr="00AE7E9B">
        <w:rPr>
          <w:rFonts w:ascii="Arial" w:hAnsi="Arial" w:cs="Arial"/>
          <w:color w:val="000000" w:themeColor="text1"/>
          <w:sz w:val="20"/>
          <w:szCs w:val="20"/>
        </w:rPr>
        <w:t>_____________________________________</w:t>
      </w:r>
    </w:p>
    <w:p w14:paraId="412B158A" w14:textId="77777777" w:rsidR="00AE0F1A" w:rsidRPr="00AE7E9B" w:rsidRDefault="00AE0F1A" w:rsidP="00AE0F1A">
      <w:pPr>
        <w:autoSpaceDE w:val="0"/>
        <w:autoSpaceDN w:val="0"/>
        <w:adjustRightInd w:val="0"/>
        <w:spacing w:line="276" w:lineRule="auto"/>
        <w:ind w:right="-30"/>
        <w:jc w:val="center"/>
        <w:rPr>
          <w:rFonts w:ascii="Arial" w:hAnsi="Arial" w:cs="Arial"/>
          <w:color w:val="000000" w:themeColor="text1"/>
          <w:sz w:val="20"/>
          <w:szCs w:val="20"/>
        </w:rPr>
      </w:pPr>
      <w:r w:rsidRPr="00AE7E9B">
        <w:rPr>
          <w:rFonts w:ascii="Arial" w:hAnsi="Arial" w:cs="Arial"/>
          <w:color w:val="000000" w:themeColor="text1"/>
          <w:sz w:val="20"/>
          <w:szCs w:val="20"/>
        </w:rPr>
        <w:t>MUNICIPIO DE SAPUCAIA DO SUL</w:t>
      </w:r>
      <w:r w:rsidRPr="00AE7E9B">
        <w:rPr>
          <w:rFonts w:ascii="Arial" w:hAnsi="Arial" w:cs="Arial"/>
          <w:color w:val="000000" w:themeColor="text1"/>
          <w:sz w:val="20"/>
          <w:szCs w:val="20"/>
        </w:rPr>
        <w:br/>
        <w:t>Contratante</w:t>
      </w:r>
      <w:r w:rsidRPr="00AE7E9B">
        <w:rPr>
          <w:rFonts w:ascii="Arial" w:hAnsi="Arial" w:cs="Arial"/>
          <w:color w:val="000000" w:themeColor="text1"/>
          <w:sz w:val="20"/>
          <w:szCs w:val="20"/>
        </w:rPr>
        <w:br/>
      </w:r>
      <w:r w:rsidRPr="00AE7E9B">
        <w:rPr>
          <w:rFonts w:ascii="Arial" w:hAnsi="Arial" w:cs="Arial"/>
          <w:color w:val="000000" w:themeColor="text1"/>
          <w:sz w:val="20"/>
          <w:szCs w:val="20"/>
        </w:rPr>
        <w:br/>
      </w:r>
      <w:r w:rsidRPr="00AE7E9B">
        <w:rPr>
          <w:rFonts w:ascii="Arial" w:hAnsi="Arial" w:cs="Arial"/>
          <w:color w:val="000000" w:themeColor="text1"/>
          <w:sz w:val="20"/>
          <w:szCs w:val="20"/>
        </w:rPr>
        <w:br/>
      </w:r>
    </w:p>
    <w:p w14:paraId="2CE61E1C" w14:textId="77777777" w:rsidR="00AE0F1A" w:rsidRPr="00AE7E9B" w:rsidRDefault="00AE0F1A" w:rsidP="00AE0F1A">
      <w:pPr>
        <w:autoSpaceDE w:val="0"/>
        <w:autoSpaceDN w:val="0"/>
        <w:adjustRightInd w:val="0"/>
        <w:spacing w:line="276" w:lineRule="auto"/>
        <w:ind w:right="-30"/>
        <w:jc w:val="center"/>
        <w:rPr>
          <w:rFonts w:ascii="Arial" w:hAnsi="Arial" w:cs="Arial"/>
          <w:color w:val="000000" w:themeColor="text1"/>
          <w:sz w:val="20"/>
          <w:szCs w:val="20"/>
        </w:rPr>
      </w:pPr>
      <w:r w:rsidRPr="00AE7E9B">
        <w:rPr>
          <w:rFonts w:ascii="Arial" w:hAnsi="Arial" w:cs="Arial"/>
          <w:color w:val="000000" w:themeColor="text1"/>
          <w:sz w:val="20"/>
          <w:szCs w:val="20"/>
        </w:rPr>
        <w:br/>
        <w:t>_____________________________________</w:t>
      </w:r>
      <w:r w:rsidRPr="00AE7E9B">
        <w:rPr>
          <w:rFonts w:ascii="Arial" w:hAnsi="Arial" w:cs="Arial"/>
          <w:color w:val="000000" w:themeColor="text1"/>
          <w:sz w:val="20"/>
          <w:szCs w:val="20"/>
        </w:rPr>
        <w:br/>
        <w:t>&lt;=</w:t>
      </w:r>
      <w:proofErr w:type="spellStart"/>
      <w:r w:rsidRPr="00AE7E9B">
        <w:rPr>
          <w:rFonts w:ascii="Arial" w:hAnsi="Arial" w:cs="Arial"/>
          <w:color w:val="000000" w:themeColor="text1"/>
          <w:sz w:val="20"/>
          <w:szCs w:val="20"/>
        </w:rPr>
        <w:t>contrato_fornecedor_nome</w:t>
      </w:r>
      <w:proofErr w:type="spellEnd"/>
      <w:r w:rsidRPr="00AE7E9B">
        <w:rPr>
          <w:rFonts w:ascii="Arial" w:hAnsi="Arial" w:cs="Arial"/>
          <w:color w:val="000000" w:themeColor="text1"/>
          <w:sz w:val="20"/>
          <w:szCs w:val="20"/>
        </w:rPr>
        <w:t>&gt;</w:t>
      </w:r>
    </w:p>
    <w:p w14:paraId="131DDCE2" w14:textId="77777777" w:rsidR="00AE0F1A" w:rsidRPr="00AE7E9B" w:rsidRDefault="00AE0F1A" w:rsidP="00AE0F1A">
      <w:pPr>
        <w:widowControl/>
        <w:rPr>
          <w:rFonts w:ascii="Arial" w:hAnsi="Arial" w:cs="Arial"/>
          <w:color w:val="000000" w:themeColor="text1"/>
          <w:sz w:val="20"/>
          <w:szCs w:val="20"/>
        </w:rPr>
      </w:pPr>
      <w:r w:rsidRPr="00AE7E9B">
        <w:rPr>
          <w:rFonts w:ascii="Arial" w:hAnsi="Arial" w:cs="Arial"/>
          <w:color w:val="000000" w:themeColor="text1"/>
          <w:sz w:val="20"/>
          <w:szCs w:val="20"/>
        </w:rPr>
        <w:br w:type="page"/>
      </w:r>
      <w:r w:rsidRPr="00AE7E9B">
        <w:rPr>
          <w:rFonts w:ascii="Arial" w:hAnsi="Arial" w:cs="Arial"/>
          <w:color w:val="000000" w:themeColor="text1"/>
          <w:sz w:val="20"/>
          <w:szCs w:val="20"/>
        </w:rPr>
        <w:lastRenderedPageBreak/>
        <w:t>Anexo</w:t>
      </w:r>
    </w:p>
    <w:p w14:paraId="7BAF933A"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p>
    <w:p w14:paraId="19B02311"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r w:rsidRPr="00AE7E9B">
        <w:rPr>
          <w:rFonts w:ascii="Arial" w:hAnsi="Arial" w:cs="Arial"/>
          <w:color w:val="000000" w:themeColor="text1"/>
          <w:sz w:val="20"/>
          <w:szCs w:val="20"/>
        </w:rPr>
        <w:t>Cadastro Reserva</w:t>
      </w:r>
    </w:p>
    <w:p w14:paraId="153DF48E"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p>
    <w:p w14:paraId="04DBB9F7"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r w:rsidRPr="00AE7E9B">
        <w:rPr>
          <w:rFonts w:ascii="Arial" w:hAnsi="Arial" w:cs="Arial"/>
          <w:color w:val="000000" w:themeColor="text1"/>
          <w:sz w:val="20"/>
          <w:szCs w:val="20"/>
        </w:rPr>
        <w:t>Seguindo a ordem de classificação, segue relação de fornecedores que aceitaram cotar os itens com preços iguais ao adjudicatário:</w:t>
      </w:r>
    </w:p>
    <w:p w14:paraId="7C79EC0E"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p>
    <w:p w14:paraId="6C61BF2F"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p>
    <w:p w14:paraId="7CF04FB4"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r w:rsidRPr="00AE7E9B">
        <w:rPr>
          <w:rFonts w:ascii="Arial" w:hAnsi="Arial" w:cs="Arial"/>
          <w:color w:val="000000" w:themeColor="text1"/>
          <w:sz w:val="20"/>
          <w:szCs w:val="20"/>
        </w:rPr>
        <w:t>Seguindo a ordem de classificação, segue relação de fornecedores que mantiveram sua proposta original:</w:t>
      </w:r>
    </w:p>
    <w:p w14:paraId="2A2EA04E" w14:textId="77777777" w:rsidR="00AE0F1A" w:rsidRPr="00AE7E9B" w:rsidRDefault="00AE0F1A" w:rsidP="00AE0F1A">
      <w:pPr>
        <w:autoSpaceDE w:val="0"/>
        <w:autoSpaceDN w:val="0"/>
        <w:adjustRightInd w:val="0"/>
        <w:spacing w:line="360" w:lineRule="auto"/>
        <w:ind w:right="-30"/>
        <w:jc w:val="center"/>
        <w:rPr>
          <w:rFonts w:ascii="Arial" w:hAnsi="Arial" w:cs="Arial"/>
          <w:color w:val="000000" w:themeColor="text1"/>
          <w:sz w:val="20"/>
          <w:szCs w:val="20"/>
        </w:rPr>
      </w:pPr>
    </w:p>
    <w:tbl>
      <w:tblPr>
        <w:tblW w:w="9072" w:type="dxa"/>
        <w:tblInd w:w="10" w:type="dxa"/>
        <w:tblLayout w:type="fixed"/>
        <w:tblCellMar>
          <w:left w:w="10" w:type="dxa"/>
          <w:right w:w="10" w:type="dxa"/>
        </w:tblCellMar>
        <w:tblLook w:val="0000" w:firstRow="0" w:lastRow="0" w:firstColumn="0" w:lastColumn="0" w:noHBand="0" w:noVBand="0"/>
      </w:tblPr>
      <w:tblGrid>
        <w:gridCol w:w="477"/>
        <w:gridCol w:w="2517"/>
        <w:gridCol w:w="816"/>
        <w:gridCol w:w="1089"/>
        <w:gridCol w:w="1225"/>
        <w:gridCol w:w="1225"/>
        <w:gridCol w:w="1723"/>
      </w:tblGrid>
      <w:tr w:rsidR="00AE0F1A" w:rsidRPr="00AE7E9B" w14:paraId="02355206" w14:textId="77777777" w:rsidTr="00FA6C80">
        <w:trPr>
          <w:trHeight w:val="511"/>
        </w:trPr>
        <w:tc>
          <w:tcPr>
            <w:tcW w:w="9072" w:type="dxa"/>
            <w:gridSpan w:val="7"/>
            <w:tcBorders>
              <w:top w:val="single" w:sz="2" w:space="0" w:color="000000"/>
              <w:left w:val="single" w:sz="2" w:space="0" w:color="000000"/>
              <w:bottom w:val="single" w:sz="2" w:space="0" w:color="000000"/>
              <w:right w:val="single" w:sz="2" w:space="0" w:color="000000"/>
            </w:tcBorders>
            <w:vAlign w:val="center"/>
          </w:tcPr>
          <w:p w14:paraId="59C8AA2C" w14:textId="77777777" w:rsidR="00AE0F1A" w:rsidRPr="00AE7E9B" w:rsidRDefault="00AE0F1A" w:rsidP="00FA6C80">
            <w:pPr>
              <w:autoSpaceDE w:val="0"/>
              <w:autoSpaceDN w:val="0"/>
              <w:adjustRightInd w:val="0"/>
              <w:ind w:right="-28"/>
              <w:jc w:val="center"/>
              <w:rPr>
                <w:rFonts w:ascii="Arial" w:hAnsi="Arial" w:cs="Arial"/>
                <w:color w:val="000000" w:themeColor="text1"/>
                <w:sz w:val="16"/>
                <w:szCs w:val="16"/>
              </w:rPr>
            </w:pPr>
            <w:r w:rsidRPr="00AE7E9B">
              <w:rPr>
                <w:rFonts w:ascii="Arial" w:hAnsi="Arial" w:cs="Arial"/>
                <w:color w:val="000000" w:themeColor="text1"/>
                <w:sz w:val="16"/>
                <w:szCs w:val="16"/>
              </w:rPr>
              <w:t xml:space="preserve">Fornecedor </w:t>
            </w:r>
            <w:r w:rsidRPr="00AE7E9B">
              <w:rPr>
                <w:rFonts w:ascii="Arial" w:hAnsi="Arial" w:cs="Arial"/>
                <w:i/>
                <w:color w:val="000000" w:themeColor="text1"/>
                <w:sz w:val="16"/>
                <w:szCs w:val="16"/>
              </w:rPr>
              <w:t>[razão social, CNPJ/MF, endereço, contatos, representante]</w:t>
            </w:r>
          </w:p>
        </w:tc>
      </w:tr>
      <w:tr w:rsidR="00AE0F1A" w:rsidRPr="00AE7E9B" w14:paraId="737840CB" w14:textId="77777777" w:rsidTr="00FA6C80">
        <w:trPr>
          <w:trHeight w:val="674"/>
        </w:trPr>
        <w:tc>
          <w:tcPr>
            <w:tcW w:w="477" w:type="dxa"/>
            <w:tcBorders>
              <w:top w:val="nil"/>
              <w:left w:val="single" w:sz="2" w:space="0" w:color="000000"/>
              <w:bottom w:val="single" w:sz="2" w:space="0" w:color="000000"/>
              <w:right w:val="nil"/>
            </w:tcBorders>
            <w:vAlign w:val="center"/>
          </w:tcPr>
          <w:p w14:paraId="52986334" w14:textId="77777777" w:rsidR="00AE0F1A" w:rsidRPr="00AE7E9B" w:rsidRDefault="00AE0F1A" w:rsidP="00FA6C80">
            <w:pPr>
              <w:autoSpaceDE w:val="0"/>
              <w:autoSpaceDN w:val="0"/>
              <w:adjustRightInd w:val="0"/>
              <w:ind w:right="-28"/>
              <w:jc w:val="center"/>
              <w:rPr>
                <w:rFonts w:ascii="Arial" w:hAnsi="Arial" w:cs="Arial"/>
                <w:color w:val="000000" w:themeColor="text1"/>
                <w:sz w:val="16"/>
                <w:szCs w:val="16"/>
              </w:rPr>
            </w:pPr>
            <w:r w:rsidRPr="00AE7E9B">
              <w:rPr>
                <w:rFonts w:ascii="Arial" w:hAnsi="Arial" w:cs="Arial"/>
                <w:color w:val="000000" w:themeColor="text1"/>
                <w:sz w:val="16"/>
                <w:szCs w:val="16"/>
              </w:rPr>
              <w:t>Item</w:t>
            </w:r>
          </w:p>
        </w:tc>
        <w:tc>
          <w:tcPr>
            <w:tcW w:w="2517" w:type="dxa"/>
            <w:tcBorders>
              <w:top w:val="nil"/>
              <w:left w:val="single" w:sz="2" w:space="0" w:color="000000"/>
              <w:bottom w:val="single" w:sz="2" w:space="0" w:color="000000"/>
              <w:right w:val="nil"/>
            </w:tcBorders>
            <w:vAlign w:val="center"/>
          </w:tcPr>
          <w:p w14:paraId="3B22B67B" w14:textId="77777777" w:rsidR="00AE0F1A" w:rsidRPr="00AE7E9B" w:rsidRDefault="00AE0F1A" w:rsidP="00FA6C80">
            <w:pPr>
              <w:autoSpaceDE w:val="0"/>
              <w:autoSpaceDN w:val="0"/>
              <w:adjustRightInd w:val="0"/>
              <w:ind w:right="-28"/>
              <w:jc w:val="center"/>
              <w:rPr>
                <w:rFonts w:ascii="Arial" w:hAnsi="Arial" w:cs="Arial"/>
                <w:color w:val="000000" w:themeColor="text1"/>
                <w:sz w:val="16"/>
                <w:szCs w:val="16"/>
              </w:rPr>
            </w:pPr>
            <w:r w:rsidRPr="00AE7E9B">
              <w:rPr>
                <w:rFonts w:ascii="Arial" w:hAnsi="Arial" w:cs="Arial"/>
                <w:color w:val="000000" w:themeColor="text1"/>
                <w:sz w:val="16"/>
                <w:szCs w:val="16"/>
              </w:rPr>
              <w:t>Especificação</w:t>
            </w:r>
          </w:p>
        </w:tc>
        <w:tc>
          <w:tcPr>
            <w:tcW w:w="816" w:type="dxa"/>
            <w:tcBorders>
              <w:top w:val="nil"/>
              <w:left w:val="single" w:sz="2" w:space="0" w:color="000000"/>
              <w:bottom w:val="single" w:sz="2" w:space="0" w:color="000000"/>
              <w:right w:val="nil"/>
            </w:tcBorders>
            <w:vAlign w:val="center"/>
          </w:tcPr>
          <w:p w14:paraId="3DBF6F71" w14:textId="77777777" w:rsidR="00AE0F1A" w:rsidRPr="00AE7E9B" w:rsidRDefault="00AE0F1A" w:rsidP="00FA6C80">
            <w:pPr>
              <w:autoSpaceDE w:val="0"/>
              <w:autoSpaceDN w:val="0"/>
              <w:adjustRightInd w:val="0"/>
              <w:ind w:right="-28"/>
              <w:jc w:val="center"/>
              <w:rPr>
                <w:rFonts w:ascii="Arial" w:hAnsi="Arial" w:cs="Arial"/>
                <w:color w:val="000000" w:themeColor="text1"/>
                <w:sz w:val="16"/>
                <w:szCs w:val="16"/>
              </w:rPr>
            </w:pPr>
            <w:r w:rsidRPr="00AE7E9B">
              <w:rPr>
                <w:rFonts w:ascii="Arial" w:hAnsi="Arial" w:cs="Arial"/>
                <w:color w:val="000000" w:themeColor="text1"/>
                <w:sz w:val="16"/>
                <w:szCs w:val="16"/>
              </w:rPr>
              <w:t>Unidade</w:t>
            </w:r>
          </w:p>
        </w:tc>
        <w:tc>
          <w:tcPr>
            <w:tcW w:w="1089" w:type="dxa"/>
            <w:tcBorders>
              <w:top w:val="nil"/>
              <w:left w:val="single" w:sz="2" w:space="0" w:color="000000"/>
              <w:bottom w:val="single" w:sz="2" w:space="0" w:color="000000"/>
              <w:right w:val="nil"/>
            </w:tcBorders>
            <w:vAlign w:val="center"/>
          </w:tcPr>
          <w:p w14:paraId="742304F5" w14:textId="77777777" w:rsidR="00AE0F1A" w:rsidRPr="00AE7E9B" w:rsidRDefault="00AE0F1A" w:rsidP="00FA6C80">
            <w:pPr>
              <w:autoSpaceDE w:val="0"/>
              <w:autoSpaceDN w:val="0"/>
              <w:adjustRightInd w:val="0"/>
              <w:ind w:right="-28"/>
              <w:jc w:val="center"/>
              <w:rPr>
                <w:rFonts w:ascii="Arial" w:hAnsi="Arial" w:cs="Arial"/>
                <w:color w:val="000000" w:themeColor="text1"/>
                <w:sz w:val="16"/>
                <w:szCs w:val="16"/>
              </w:rPr>
            </w:pPr>
            <w:r w:rsidRPr="00AE7E9B">
              <w:rPr>
                <w:rFonts w:ascii="Arial" w:hAnsi="Arial" w:cs="Arial"/>
                <w:color w:val="000000" w:themeColor="text1"/>
                <w:sz w:val="16"/>
                <w:szCs w:val="16"/>
              </w:rPr>
              <w:t>Quantidade</w:t>
            </w:r>
          </w:p>
        </w:tc>
        <w:tc>
          <w:tcPr>
            <w:tcW w:w="1225" w:type="dxa"/>
            <w:tcBorders>
              <w:top w:val="nil"/>
              <w:left w:val="single" w:sz="2" w:space="0" w:color="000000"/>
              <w:bottom w:val="single" w:sz="2" w:space="0" w:color="000000"/>
              <w:right w:val="single" w:sz="2" w:space="0" w:color="000000"/>
            </w:tcBorders>
            <w:vAlign w:val="center"/>
          </w:tcPr>
          <w:p w14:paraId="7E823312" w14:textId="77777777" w:rsidR="00AE0F1A" w:rsidRPr="00AE7E9B" w:rsidRDefault="00AE0F1A" w:rsidP="00FA6C80">
            <w:pPr>
              <w:autoSpaceDE w:val="0"/>
              <w:autoSpaceDN w:val="0"/>
              <w:adjustRightInd w:val="0"/>
              <w:ind w:right="-28"/>
              <w:jc w:val="center"/>
              <w:rPr>
                <w:rFonts w:ascii="Arial" w:hAnsi="Arial" w:cs="Arial"/>
                <w:color w:val="000000" w:themeColor="text1"/>
                <w:sz w:val="16"/>
                <w:szCs w:val="16"/>
              </w:rPr>
            </w:pPr>
            <w:r w:rsidRPr="00AE7E9B">
              <w:rPr>
                <w:rFonts w:ascii="Arial" w:hAnsi="Arial" w:cs="Arial"/>
                <w:color w:val="000000" w:themeColor="text1"/>
                <w:sz w:val="16"/>
                <w:szCs w:val="16"/>
              </w:rPr>
              <w:t>Valor</w:t>
            </w:r>
            <w:r w:rsidRPr="00AE7E9B">
              <w:rPr>
                <w:rFonts w:ascii="Arial" w:hAnsi="Arial" w:cs="Arial"/>
                <w:color w:val="000000" w:themeColor="text1"/>
                <w:sz w:val="16"/>
                <w:szCs w:val="16"/>
              </w:rPr>
              <w:br/>
              <w:t>Unitário</w:t>
            </w:r>
          </w:p>
        </w:tc>
        <w:tc>
          <w:tcPr>
            <w:tcW w:w="1225" w:type="dxa"/>
            <w:tcBorders>
              <w:top w:val="nil"/>
              <w:left w:val="single" w:sz="2" w:space="0" w:color="000000"/>
              <w:bottom w:val="single" w:sz="2" w:space="0" w:color="000000"/>
              <w:right w:val="nil"/>
            </w:tcBorders>
            <w:vAlign w:val="center"/>
          </w:tcPr>
          <w:p w14:paraId="63EE3458" w14:textId="77777777" w:rsidR="00AE0F1A" w:rsidRPr="00AE7E9B" w:rsidRDefault="00AE0F1A" w:rsidP="00FA6C80">
            <w:pPr>
              <w:autoSpaceDE w:val="0"/>
              <w:autoSpaceDN w:val="0"/>
              <w:adjustRightInd w:val="0"/>
              <w:ind w:right="-28"/>
              <w:jc w:val="center"/>
              <w:rPr>
                <w:rFonts w:ascii="Arial" w:hAnsi="Arial" w:cs="Arial"/>
                <w:color w:val="000000" w:themeColor="text1"/>
                <w:sz w:val="16"/>
                <w:szCs w:val="16"/>
              </w:rPr>
            </w:pPr>
            <w:r w:rsidRPr="00AE7E9B">
              <w:rPr>
                <w:rFonts w:ascii="Arial" w:hAnsi="Arial" w:cs="Arial"/>
                <w:color w:val="000000" w:themeColor="text1"/>
                <w:sz w:val="16"/>
                <w:szCs w:val="16"/>
              </w:rPr>
              <w:t xml:space="preserve">Valor </w:t>
            </w:r>
            <w:r w:rsidRPr="00AE7E9B">
              <w:rPr>
                <w:rFonts w:ascii="Arial" w:hAnsi="Arial" w:cs="Arial"/>
                <w:color w:val="000000" w:themeColor="text1"/>
                <w:sz w:val="16"/>
                <w:szCs w:val="16"/>
              </w:rPr>
              <w:br/>
              <w:t>Total</w:t>
            </w:r>
          </w:p>
        </w:tc>
        <w:tc>
          <w:tcPr>
            <w:tcW w:w="1723" w:type="dxa"/>
            <w:tcBorders>
              <w:top w:val="nil"/>
              <w:left w:val="single" w:sz="2" w:space="0" w:color="000000"/>
              <w:bottom w:val="single" w:sz="2" w:space="0" w:color="000000"/>
              <w:right w:val="single" w:sz="2" w:space="0" w:color="000000"/>
            </w:tcBorders>
            <w:vAlign w:val="center"/>
          </w:tcPr>
          <w:p w14:paraId="445B0915" w14:textId="77777777" w:rsidR="00AE0F1A" w:rsidRPr="00AE7E9B" w:rsidRDefault="00AE0F1A" w:rsidP="00FA6C80">
            <w:pPr>
              <w:autoSpaceDE w:val="0"/>
              <w:autoSpaceDN w:val="0"/>
              <w:adjustRightInd w:val="0"/>
              <w:ind w:right="-28"/>
              <w:jc w:val="center"/>
              <w:rPr>
                <w:rFonts w:ascii="Arial" w:hAnsi="Arial" w:cs="Arial"/>
                <w:color w:val="000000" w:themeColor="text1"/>
                <w:sz w:val="16"/>
                <w:szCs w:val="16"/>
              </w:rPr>
            </w:pPr>
            <w:r w:rsidRPr="00AE7E9B">
              <w:rPr>
                <w:rFonts w:ascii="Arial" w:hAnsi="Arial" w:cs="Arial"/>
                <w:color w:val="000000" w:themeColor="text1"/>
                <w:sz w:val="16"/>
                <w:szCs w:val="16"/>
              </w:rPr>
              <w:t>Prazo garantia ou validade</w:t>
            </w:r>
          </w:p>
        </w:tc>
      </w:tr>
      <w:tr w:rsidR="00AE0F1A" w:rsidRPr="00AE7E9B" w14:paraId="1F0A920D" w14:textId="77777777" w:rsidTr="00FA6C80">
        <w:trPr>
          <w:trHeight w:val="566"/>
        </w:trPr>
        <w:tc>
          <w:tcPr>
            <w:tcW w:w="477" w:type="dxa"/>
            <w:tcBorders>
              <w:top w:val="nil"/>
              <w:left w:val="single" w:sz="2" w:space="0" w:color="000000"/>
              <w:bottom w:val="single" w:sz="2" w:space="0" w:color="000000"/>
              <w:right w:val="nil"/>
            </w:tcBorders>
            <w:vAlign w:val="center"/>
          </w:tcPr>
          <w:p w14:paraId="675AA79A" w14:textId="77777777" w:rsidR="00AE0F1A" w:rsidRPr="00AE7E9B" w:rsidRDefault="00AE0F1A" w:rsidP="00FA6C80">
            <w:pPr>
              <w:autoSpaceDE w:val="0"/>
              <w:autoSpaceDN w:val="0"/>
              <w:adjustRightInd w:val="0"/>
              <w:spacing w:line="360" w:lineRule="auto"/>
              <w:ind w:right="-30"/>
              <w:jc w:val="center"/>
              <w:rPr>
                <w:rFonts w:ascii="Arial" w:hAnsi="Arial" w:cs="Arial"/>
                <w:color w:val="000000" w:themeColor="text1"/>
                <w:sz w:val="16"/>
                <w:szCs w:val="16"/>
              </w:rPr>
            </w:pPr>
            <w:r w:rsidRPr="00AE7E9B">
              <w:rPr>
                <w:rFonts w:ascii="Arial" w:hAnsi="Arial" w:cs="Arial"/>
                <w:color w:val="000000" w:themeColor="text1"/>
                <w:sz w:val="16"/>
                <w:szCs w:val="16"/>
              </w:rPr>
              <w:t>X</w:t>
            </w:r>
          </w:p>
        </w:tc>
        <w:tc>
          <w:tcPr>
            <w:tcW w:w="2517" w:type="dxa"/>
            <w:tcBorders>
              <w:top w:val="nil"/>
              <w:left w:val="single" w:sz="2" w:space="0" w:color="000000"/>
              <w:bottom w:val="single" w:sz="2" w:space="0" w:color="000000"/>
              <w:right w:val="nil"/>
            </w:tcBorders>
            <w:vAlign w:val="center"/>
          </w:tcPr>
          <w:p w14:paraId="1BDCA287" w14:textId="77777777" w:rsidR="00AE0F1A" w:rsidRPr="00AE7E9B" w:rsidRDefault="00AE0F1A" w:rsidP="00FA6C80">
            <w:pPr>
              <w:autoSpaceDE w:val="0"/>
              <w:autoSpaceDN w:val="0"/>
              <w:adjustRightInd w:val="0"/>
              <w:spacing w:line="360" w:lineRule="auto"/>
              <w:ind w:right="-30"/>
              <w:jc w:val="center"/>
              <w:rPr>
                <w:rFonts w:ascii="Arial" w:hAnsi="Arial" w:cs="Arial"/>
                <w:color w:val="000000" w:themeColor="text1"/>
                <w:sz w:val="16"/>
                <w:szCs w:val="16"/>
              </w:rPr>
            </w:pPr>
          </w:p>
        </w:tc>
        <w:tc>
          <w:tcPr>
            <w:tcW w:w="816" w:type="dxa"/>
            <w:tcBorders>
              <w:top w:val="nil"/>
              <w:left w:val="single" w:sz="2" w:space="0" w:color="000000"/>
              <w:bottom w:val="single" w:sz="2" w:space="0" w:color="000000"/>
              <w:right w:val="nil"/>
            </w:tcBorders>
            <w:vAlign w:val="center"/>
          </w:tcPr>
          <w:p w14:paraId="7A53D7E0" w14:textId="77777777" w:rsidR="00AE0F1A" w:rsidRPr="00AE7E9B" w:rsidRDefault="00AE0F1A" w:rsidP="00FA6C80">
            <w:pPr>
              <w:autoSpaceDE w:val="0"/>
              <w:autoSpaceDN w:val="0"/>
              <w:adjustRightInd w:val="0"/>
              <w:spacing w:line="360" w:lineRule="auto"/>
              <w:ind w:right="-30"/>
              <w:jc w:val="center"/>
              <w:rPr>
                <w:rFonts w:ascii="Arial" w:hAnsi="Arial" w:cs="Arial"/>
                <w:color w:val="000000" w:themeColor="text1"/>
                <w:sz w:val="16"/>
                <w:szCs w:val="16"/>
              </w:rPr>
            </w:pPr>
          </w:p>
        </w:tc>
        <w:tc>
          <w:tcPr>
            <w:tcW w:w="1089" w:type="dxa"/>
            <w:tcBorders>
              <w:top w:val="nil"/>
              <w:left w:val="single" w:sz="2" w:space="0" w:color="000000"/>
              <w:bottom w:val="single" w:sz="2" w:space="0" w:color="000000"/>
              <w:right w:val="nil"/>
            </w:tcBorders>
            <w:vAlign w:val="center"/>
          </w:tcPr>
          <w:p w14:paraId="7D8DAD79" w14:textId="77777777" w:rsidR="00AE0F1A" w:rsidRPr="00AE7E9B" w:rsidRDefault="00AE0F1A" w:rsidP="00FA6C80">
            <w:pPr>
              <w:autoSpaceDE w:val="0"/>
              <w:autoSpaceDN w:val="0"/>
              <w:adjustRightInd w:val="0"/>
              <w:spacing w:line="360" w:lineRule="auto"/>
              <w:ind w:right="-30"/>
              <w:jc w:val="center"/>
              <w:rPr>
                <w:rFonts w:ascii="Arial" w:hAnsi="Arial" w:cs="Arial"/>
                <w:color w:val="000000" w:themeColor="text1"/>
                <w:sz w:val="16"/>
                <w:szCs w:val="16"/>
              </w:rPr>
            </w:pPr>
          </w:p>
        </w:tc>
        <w:tc>
          <w:tcPr>
            <w:tcW w:w="1225" w:type="dxa"/>
            <w:tcBorders>
              <w:top w:val="nil"/>
              <w:left w:val="single" w:sz="2" w:space="0" w:color="000000"/>
              <w:bottom w:val="single" w:sz="2" w:space="0" w:color="000000"/>
              <w:right w:val="single" w:sz="2" w:space="0" w:color="000000"/>
            </w:tcBorders>
            <w:vAlign w:val="center"/>
          </w:tcPr>
          <w:p w14:paraId="3F44F9F6" w14:textId="77777777" w:rsidR="00AE0F1A" w:rsidRPr="00AE7E9B" w:rsidRDefault="00AE0F1A" w:rsidP="00FA6C80">
            <w:pPr>
              <w:autoSpaceDE w:val="0"/>
              <w:autoSpaceDN w:val="0"/>
              <w:adjustRightInd w:val="0"/>
              <w:spacing w:line="360" w:lineRule="auto"/>
              <w:ind w:right="-30"/>
              <w:jc w:val="center"/>
              <w:rPr>
                <w:rFonts w:ascii="Arial" w:hAnsi="Arial" w:cs="Arial"/>
                <w:color w:val="000000" w:themeColor="text1"/>
                <w:sz w:val="16"/>
                <w:szCs w:val="16"/>
              </w:rPr>
            </w:pPr>
          </w:p>
        </w:tc>
        <w:tc>
          <w:tcPr>
            <w:tcW w:w="1225" w:type="dxa"/>
            <w:tcBorders>
              <w:top w:val="nil"/>
              <w:left w:val="single" w:sz="2" w:space="0" w:color="000000"/>
              <w:bottom w:val="single" w:sz="2" w:space="0" w:color="000000"/>
              <w:right w:val="nil"/>
            </w:tcBorders>
            <w:vAlign w:val="center"/>
          </w:tcPr>
          <w:p w14:paraId="543627B6" w14:textId="77777777" w:rsidR="00AE0F1A" w:rsidRPr="00AE7E9B" w:rsidRDefault="00AE0F1A" w:rsidP="00FA6C80">
            <w:pPr>
              <w:autoSpaceDE w:val="0"/>
              <w:autoSpaceDN w:val="0"/>
              <w:adjustRightInd w:val="0"/>
              <w:spacing w:line="360" w:lineRule="auto"/>
              <w:ind w:right="-30"/>
              <w:jc w:val="center"/>
              <w:rPr>
                <w:rFonts w:ascii="Arial" w:hAnsi="Arial" w:cs="Arial"/>
                <w:color w:val="000000" w:themeColor="text1"/>
                <w:sz w:val="16"/>
                <w:szCs w:val="16"/>
              </w:rPr>
            </w:pPr>
          </w:p>
        </w:tc>
        <w:tc>
          <w:tcPr>
            <w:tcW w:w="1723" w:type="dxa"/>
            <w:tcBorders>
              <w:top w:val="nil"/>
              <w:left w:val="single" w:sz="2" w:space="0" w:color="000000"/>
              <w:bottom w:val="single" w:sz="2" w:space="0" w:color="000000"/>
              <w:right w:val="single" w:sz="2" w:space="0" w:color="000000"/>
            </w:tcBorders>
            <w:vAlign w:val="center"/>
          </w:tcPr>
          <w:p w14:paraId="3C9E46B0" w14:textId="77777777" w:rsidR="00AE0F1A" w:rsidRPr="00AE7E9B" w:rsidRDefault="00AE0F1A" w:rsidP="00FA6C80">
            <w:pPr>
              <w:autoSpaceDE w:val="0"/>
              <w:autoSpaceDN w:val="0"/>
              <w:adjustRightInd w:val="0"/>
              <w:spacing w:line="360" w:lineRule="auto"/>
              <w:ind w:right="-30"/>
              <w:jc w:val="center"/>
              <w:rPr>
                <w:rFonts w:ascii="Arial" w:hAnsi="Arial" w:cs="Arial"/>
                <w:color w:val="000000" w:themeColor="text1"/>
                <w:sz w:val="16"/>
                <w:szCs w:val="16"/>
              </w:rPr>
            </w:pPr>
          </w:p>
        </w:tc>
      </w:tr>
    </w:tbl>
    <w:p w14:paraId="2EDF5B3E" w14:textId="7864B8A6" w:rsidR="002C381D" w:rsidRPr="00AE7E9B" w:rsidRDefault="002C381D" w:rsidP="007E2CAD">
      <w:pPr>
        <w:rPr>
          <w:color w:val="000000" w:themeColor="text1"/>
        </w:rPr>
      </w:pPr>
    </w:p>
    <w:sectPr w:rsidR="002C381D" w:rsidRPr="00AE7E9B" w:rsidSect="002C381D">
      <w:headerReference w:type="default" r:id="rId9"/>
      <w:footerReference w:type="default" r:id="rId10"/>
      <w:type w:val="continuous"/>
      <w:pgSz w:w="11910" w:h="16850"/>
      <w:pgMar w:top="0" w:right="1701" w:bottom="3402"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4F430" w14:textId="77777777" w:rsidR="00A90BF2" w:rsidRPr="007E2CAD" w:rsidRDefault="00A90BF2">
      <w:r w:rsidRPr="007E2CAD">
        <w:separator/>
      </w:r>
    </w:p>
  </w:endnote>
  <w:endnote w:type="continuationSeparator" w:id="0">
    <w:p w14:paraId="2C053E91" w14:textId="77777777" w:rsidR="00A90BF2" w:rsidRPr="007E2CAD" w:rsidRDefault="00A90BF2">
      <w:r w:rsidRPr="007E2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2AD8" w14:textId="3AB10F4E" w:rsidR="008710BB" w:rsidRPr="007E2CAD" w:rsidRDefault="007E2CAD">
    <w:pPr>
      <w:pBdr>
        <w:top w:val="nil"/>
        <w:left w:val="nil"/>
        <w:bottom w:val="nil"/>
        <w:right w:val="nil"/>
        <w:between w:val="nil"/>
      </w:pBdr>
      <w:tabs>
        <w:tab w:val="center" w:pos="4252"/>
        <w:tab w:val="right" w:pos="8504"/>
      </w:tabs>
      <w:rPr>
        <w:color w:val="000000"/>
      </w:rPr>
    </w:pPr>
    <w:r w:rsidRPr="007E2CAD">
      <w:rPr>
        <w:noProof/>
      </w:rPr>
      <w:drawing>
        <wp:anchor distT="0" distB="0" distL="114300" distR="114300" simplePos="0" relativeHeight="251660288" behindDoc="0" locked="0" layoutInCell="1" hidden="0" allowOverlap="1" wp14:anchorId="2EE1212F" wp14:editId="0DC2CECF">
          <wp:simplePos x="0" y="0"/>
          <wp:positionH relativeFrom="column">
            <wp:posOffset>-1079499</wp:posOffset>
          </wp:positionH>
          <wp:positionV relativeFrom="paragraph">
            <wp:posOffset>-433069</wp:posOffset>
          </wp:positionV>
          <wp:extent cx="7562215" cy="1219200"/>
          <wp:effectExtent l="0" t="0" r="0" b="0"/>
          <wp:wrapNone/>
          <wp:docPr id="108920239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62215" cy="1219200"/>
                  </a:xfrm>
                  <a:prstGeom prst="rect">
                    <a:avLst/>
                  </a:prstGeom>
                  <a:ln/>
                </pic:spPr>
              </pic:pic>
            </a:graphicData>
          </a:graphic>
        </wp:anchor>
      </w:drawing>
    </w:r>
  </w:p>
  <w:p w14:paraId="309F5E83" w14:textId="26A5C9DA" w:rsidR="008710BB" w:rsidRPr="007E2CAD" w:rsidRDefault="007E2CAD">
    <w:pPr>
      <w:pBdr>
        <w:top w:val="nil"/>
        <w:left w:val="nil"/>
        <w:bottom w:val="nil"/>
        <w:right w:val="nil"/>
        <w:between w:val="nil"/>
      </w:pBdr>
      <w:tabs>
        <w:tab w:val="center" w:pos="4252"/>
        <w:tab w:val="right" w:pos="8504"/>
      </w:tabs>
      <w:rPr>
        <w:color w:val="000000"/>
      </w:rPr>
    </w:pPr>
    <w:r w:rsidRPr="007E2CAD">
      <w:rPr>
        <w:noProof/>
      </w:rPr>
      <mc:AlternateContent>
        <mc:Choice Requires="wps">
          <w:drawing>
            <wp:anchor distT="45720" distB="45720" distL="114300" distR="114300" simplePos="0" relativeHeight="251663360" behindDoc="0" locked="0" layoutInCell="1" hidden="0" allowOverlap="1" wp14:anchorId="11DE4D80" wp14:editId="15D128D7">
              <wp:simplePos x="0" y="0"/>
              <wp:positionH relativeFrom="column">
                <wp:posOffset>130176</wp:posOffset>
              </wp:positionH>
              <wp:positionV relativeFrom="paragraph">
                <wp:posOffset>5715</wp:posOffset>
              </wp:positionV>
              <wp:extent cx="5144770" cy="359410"/>
              <wp:effectExtent l="0" t="0" r="0" b="2540"/>
              <wp:wrapNone/>
              <wp:docPr id="1689161925" name="Retângulo 1689161925"/>
              <wp:cNvGraphicFramePr/>
              <a:graphic xmlns:a="http://schemas.openxmlformats.org/drawingml/2006/main">
                <a:graphicData uri="http://schemas.microsoft.com/office/word/2010/wordprocessingShape">
                  <wps:wsp>
                    <wps:cNvSpPr/>
                    <wps:spPr>
                      <a:xfrm>
                        <a:off x="0" y="0"/>
                        <a:ext cx="5144770" cy="359410"/>
                      </a:xfrm>
                      <a:prstGeom prst="rect">
                        <a:avLst/>
                      </a:prstGeom>
                      <a:noFill/>
                      <a:ln>
                        <a:noFill/>
                      </a:ln>
                    </wps:spPr>
                    <wps:txbx>
                      <w:txbxContent>
                        <w:p w14:paraId="0B51B581" w14:textId="44451843" w:rsidR="008710BB" w:rsidRPr="006E6D4E" w:rsidRDefault="007E2CAD">
                          <w:pPr>
                            <w:textDirection w:val="btLr"/>
                            <w:rPr>
                              <w:color w:val="000000" w:themeColor="text1"/>
                            </w:rPr>
                          </w:pPr>
                          <w:r w:rsidRPr="006E6D4E">
                            <w:rPr>
                              <w:rFonts w:ascii="Arial" w:eastAsia="Arial" w:hAnsi="Arial" w:cs="Arial"/>
                              <w:color w:val="000000" w:themeColor="text1"/>
                              <w:sz w:val="16"/>
                            </w:rPr>
                            <w:t>Prefeitura Municipal de Sapucaia do Sul – Av. Leônidas de Souza, 1269 – Bairro Santa Catarina</w:t>
                          </w:r>
                          <w:r w:rsidR="00363B10" w:rsidRPr="006E6D4E">
                            <w:rPr>
                              <w:rFonts w:ascii="Arial" w:eastAsia="Arial" w:hAnsi="Arial" w:cs="Arial"/>
                              <w:color w:val="000000" w:themeColor="text1"/>
                              <w:sz w:val="16"/>
                            </w:rPr>
                            <w:t>.</w:t>
                          </w:r>
                          <w:r w:rsidR="00363B10" w:rsidRPr="006E6D4E">
                            <w:rPr>
                              <w:color w:val="000000" w:themeColor="text1"/>
                            </w:rPr>
                            <w:t xml:space="preserve"> </w:t>
                          </w:r>
                          <w:r w:rsidRPr="006E6D4E">
                            <w:rPr>
                              <w:rFonts w:ascii="Arial" w:eastAsia="Arial" w:hAnsi="Arial" w:cs="Arial"/>
                              <w:color w:val="000000" w:themeColor="text1"/>
                              <w:sz w:val="16"/>
                            </w:rPr>
                            <w:t>Diretoria de Compras e Licitações – (51) 3451-80</w:t>
                          </w:r>
                          <w:r w:rsidR="009B3A55" w:rsidRPr="006E6D4E">
                            <w:rPr>
                              <w:rFonts w:ascii="Arial" w:eastAsia="Arial" w:hAnsi="Arial" w:cs="Arial"/>
                              <w:color w:val="000000" w:themeColor="text1"/>
                              <w:sz w:val="16"/>
                            </w:rPr>
                            <w:t>21</w:t>
                          </w:r>
                          <w:r w:rsidR="00363B10" w:rsidRPr="006E6D4E">
                            <w:rPr>
                              <w:rFonts w:ascii="Arial" w:eastAsia="Arial" w:hAnsi="Arial" w:cs="Arial"/>
                              <w:color w:val="000000" w:themeColor="text1"/>
                              <w:sz w:val="16"/>
                            </w:rPr>
                            <w:t>,</w:t>
                          </w:r>
                          <w:r w:rsidRPr="006E6D4E">
                            <w:rPr>
                              <w:rFonts w:ascii="Arial" w:eastAsia="Arial" w:hAnsi="Arial" w:cs="Arial"/>
                              <w:color w:val="000000" w:themeColor="text1"/>
                              <w:sz w:val="16"/>
                            </w:rPr>
                            <w:t xml:space="preserve"> 80</w:t>
                          </w:r>
                          <w:r w:rsidR="009B3A55" w:rsidRPr="006E6D4E">
                            <w:rPr>
                              <w:rFonts w:ascii="Arial" w:eastAsia="Arial" w:hAnsi="Arial" w:cs="Arial"/>
                              <w:color w:val="000000" w:themeColor="text1"/>
                              <w:sz w:val="16"/>
                            </w:rPr>
                            <w:t>23</w:t>
                          </w:r>
                          <w:r w:rsidRPr="006E6D4E">
                            <w:rPr>
                              <w:rFonts w:ascii="Arial" w:eastAsia="Arial" w:hAnsi="Arial" w:cs="Arial"/>
                              <w:color w:val="000000" w:themeColor="text1"/>
                              <w:sz w:val="16"/>
                            </w:rPr>
                            <w:t xml:space="preserve"> </w:t>
                          </w:r>
                          <w:r w:rsidR="00363B10" w:rsidRPr="006E6D4E">
                            <w:rPr>
                              <w:rFonts w:ascii="Arial" w:eastAsia="Arial" w:hAnsi="Arial" w:cs="Arial"/>
                              <w:color w:val="000000" w:themeColor="text1"/>
                              <w:sz w:val="16"/>
                            </w:rPr>
                            <w:t>ou 8075 (Whats)</w:t>
                          </w:r>
                          <w:r w:rsidRPr="006E6D4E">
                            <w:rPr>
                              <w:rFonts w:ascii="Arial" w:eastAsia="Arial" w:hAnsi="Arial" w:cs="Arial"/>
                              <w:color w:val="000000" w:themeColor="text1"/>
                              <w:sz w:val="16"/>
                            </w:rPr>
                            <w:t>– licitacoes.compras@sapucaiadosul.rs.gov.br</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1DE4D80" id="Retângulo 1689161925" o:spid="_x0000_s1026" style="position:absolute;margin-left:10.25pt;margin-top:.45pt;width:405.1pt;height:28.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" filled="f" stroked="f">
              <v:textbox inset="2.53958mm,1.2694mm,2.53958mm,1.2694mm">
                <w:txbxContent>
                  <w:p w14:paraId="0B51B581" w14:textId="44451843" w:rsidR="008710BB" w:rsidRPr="006E6D4E" w:rsidRDefault="007E2CAD">
                    <w:pPr>
                      <w:textDirection w:val="btLr"/>
                      <w:rPr>
                        <w:color w:val="000000" w:themeColor="text1"/>
                      </w:rPr>
                    </w:pPr>
                    <w:r w:rsidRPr="006E6D4E">
                      <w:rPr>
                        <w:rFonts w:ascii="Arial" w:eastAsia="Arial" w:hAnsi="Arial" w:cs="Arial"/>
                        <w:color w:val="000000" w:themeColor="text1"/>
                        <w:sz w:val="16"/>
                      </w:rPr>
                      <w:t>Prefeitura Municipal de Sapucaia do Sul – Av. Leônidas de Souza, 1269 – Bairro Santa Catarina</w:t>
                    </w:r>
                    <w:r w:rsidR="00363B10" w:rsidRPr="006E6D4E">
                      <w:rPr>
                        <w:rFonts w:ascii="Arial" w:eastAsia="Arial" w:hAnsi="Arial" w:cs="Arial"/>
                        <w:color w:val="000000" w:themeColor="text1"/>
                        <w:sz w:val="16"/>
                      </w:rPr>
                      <w:t>.</w:t>
                    </w:r>
                    <w:r w:rsidR="00363B10" w:rsidRPr="006E6D4E">
                      <w:rPr>
                        <w:color w:val="000000" w:themeColor="text1"/>
                      </w:rPr>
                      <w:t xml:space="preserve"> </w:t>
                    </w:r>
                    <w:r w:rsidRPr="006E6D4E">
                      <w:rPr>
                        <w:rFonts w:ascii="Arial" w:eastAsia="Arial" w:hAnsi="Arial" w:cs="Arial"/>
                        <w:color w:val="000000" w:themeColor="text1"/>
                        <w:sz w:val="16"/>
                      </w:rPr>
                      <w:t>Diretoria de Compras e Licitações – (51) 3451-80</w:t>
                    </w:r>
                    <w:r w:rsidR="009B3A55" w:rsidRPr="006E6D4E">
                      <w:rPr>
                        <w:rFonts w:ascii="Arial" w:eastAsia="Arial" w:hAnsi="Arial" w:cs="Arial"/>
                        <w:color w:val="000000" w:themeColor="text1"/>
                        <w:sz w:val="16"/>
                      </w:rPr>
                      <w:t>21</w:t>
                    </w:r>
                    <w:r w:rsidR="00363B10" w:rsidRPr="006E6D4E">
                      <w:rPr>
                        <w:rFonts w:ascii="Arial" w:eastAsia="Arial" w:hAnsi="Arial" w:cs="Arial"/>
                        <w:color w:val="000000" w:themeColor="text1"/>
                        <w:sz w:val="16"/>
                      </w:rPr>
                      <w:t>,</w:t>
                    </w:r>
                    <w:r w:rsidRPr="006E6D4E">
                      <w:rPr>
                        <w:rFonts w:ascii="Arial" w:eastAsia="Arial" w:hAnsi="Arial" w:cs="Arial"/>
                        <w:color w:val="000000" w:themeColor="text1"/>
                        <w:sz w:val="16"/>
                      </w:rPr>
                      <w:t xml:space="preserve"> 80</w:t>
                    </w:r>
                    <w:r w:rsidR="009B3A55" w:rsidRPr="006E6D4E">
                      <w:rPr>
                        <w:rFonts w:ascii="Arial" w:eastAsia="Arial" w:hAnsi="Arial" w:cs="Arial"/>
                        <w:color w:val="000000" w:themeColor="text1"/>
                        <w:sz w:val="16"/>
                      </w:rPr>
                      <w:t>23</w:t>
                    </w:r>
                    <w:r w:rsidRPr="006E6D4E">
                      <w:rPr>
                        <w:rFonts w:ascii="Arial" w:eastAsia="Arial" w:hAnsi="Arial" w:cs="Arial"/>
                        <w:color w:val="000000" w:themeColor="text1"/>
                        <w:sz w:val="16"/>
                      </w:rPr>
                      <w:t xml:space="preserve"> </w:t>
                    </w:r>
                    <w:r w:rsidR="00363B10" w:rsidRPr="006E6D4E">
                      <w:rPr>
                        <w:rFonts w:ascii="Arial" w:eastAsia="Arial" w:hAnsi="Arial" w:cs="Arial"/>
                        <w:color w:val="000000" w:themeColor="text1"/>
                        <w:sz w:val="16"/>
                      </w:rPr>
                      <w:t>ou 8075 (Whats)</w:t>
                    </w:r>
                    <w:r w:rsidRPr="006E6D4E">
                      <w:rPr>
                        <w:rFonts w:ascii="Arial" w:eastAsia="Arial" w:hAnsi="Arial" w:cs="Arial"/>
                        <w:color w:val="000000" w:themeColor="text1"/>
                        <w:sz w:val="16"/>
                      </w:rPr>
                      <w:t>– licitacoes.compras@sapucaiadosul.rs.gov.br</w:t>
                    </w:r>
                  </w:p>
                </w:txbxContent>
              </v:textbox>
            </v:rect>
          </w:pict>
        </mc:Fallback>
      </mc:AlternateContent>
    </w:r>
    <w:r w:rsidRPr="007E2CAD">
      <w:rPr>
        <w:noProof/>
      </w:rPr>
      <mc:AlternateContent>
        <mc:Choice Requires="wpg">
          <w:drawing>
            <wp:anchor distT="0" distB="0" distL="114300" distR="114300" simplePos="0" relativeHeight="251661312" behindDoc="0" locked="0" layoutInCell="1" hidden="0" allowOverlap="1" wp14:anchorId="0584A0A9" wp14:editId="4C14357B">
              <wp:simplePos x="0" y="0"/>
              <wp:positionH relativeFrom="column">
                <wp:posOffset>127000</wp:posOffset>
              </wp:positionH>
              <wp:positionV relativeFrom="paragraph">
                <wp:posOffset>25400</wp:posOffset>
              </wp:positionV>
              <wp:extent cx="5144770" cy="280035"/>
              <wp:effectExtent l="0" t="0" r="0" b="0"/>
              <wp:wrapNone/>
              <wp:docPr id="1689161924" name="Forma Livre: Forma 1689161924"/>
              <wp:cNvGraphicFramePr/>
              <a:graphic xmlns:a="http://schemas.openxmlformats.org/drawingml/2006/main">
                <a:graphicData uri="http://schemas.microsoft.com/office/word/2010/wordprocessingShape">
                  <wps:wsp>
                    <wps:cNvSpPr/>
                    <wps:spPr>
                      <a:xfrm>
                        <a:off x="2778378" y="3644745"/>
                        <a:ext cx="5135245" cy="270510"/>
                      </a:xfrm>
                      <a:custGeom>
                        <a:avLst/>
                        <a:gdLst/>
                        <a:ahLst/>
                        <a:cxnLst/>
                        <a:rect l="l" t="t" r="r" b="b"/>
                        <a:pathLst>
                          <a:path w="5135245" h="270510" extrusionOk="0">
                            <a:moveTo>
                              <a:pt x="5000007" y="270208"/>
                            </a:moveTo>
                            <a:lnTo>
                              <a:pt x="135104" y="270208"/>
                            </a:lnTo>
                            <a:lnTo>
                              <a:pt x="92400" y="263320"/>
                            </a:lnTo>
                            <a:lnTo>
                              <a:pt x="55313" y="244141"/>
                            </a:lnTo>
                            <a:lnTo>
                              <a:pt x="26067" y="214895"/>
                            </a:lnTo>
                            <a:lnTo>
                              <a:pt x="6887" y="177807"/>
                            </a:lnTo>
                            <a:lnTo>
                              <a:pt x="0" y="135104"/>
                            </a:lnTo>
                            <a:lnTo>
                              <a:pt x="6887" y="92400"/>
                            </a:lnTo>
                            <a:lnTo>
                              <a:pt x="26067" y="55313"/>
                            </a:lnTo>
                            <a:lnTo>
                              <a:pt x="55313" y="26067"/>
                            </a:lnTo>
                            <a:lnTo>
                              <a:pt x="92400" y="6887"/>
                            </a:lnTo>
                            <a:lnTo>
                              <a:pt x="135104" y="0"/>
                            </a:lnTo>
                            <a:lnTo>
                              <a:pt x="5000007" y="0"/>
                            </a:lnTo>
                            <a:lnTo>
                              <a:pt x="5042711" y="6887"/>
                            </a:lnTo>
                            <a:lnTo>
                              <a:pt x="5079798" y="26067"/>
                            </a:lnTo>
                            <a:lnTo>
                              <a:pt x="5109044" y="55313"/>
                            </a:lnTo>
                            <a:lnTo>
                              <a:pt x="5128224" y="92400"/>
                            </a:lnTo>
                            <a:lnTo>
                              <a:pt x="5135112" y="135104"/>
                            </a:lnTo>
                            <a:lnTo>
                              <a:pt x="5128224" y="177807"/>
                            </a:lnTo>
                            <a:lnTo>
                              <a:pt x="5109044" y="214895"/>
                            </a:lnTo>
                            <a:lnTo>
                              <a:pt x="5079798" y="244141"/>
                            </a:lnTo>
                            <a:lnTo>
                              <a:pt x="5042711" y="263320"/>
                            </a:lnTo>
                            <a:lnTo>
                              <a:pt x="5000007" y="270208"/>
                            </a:lnTo>
                            <a:close/>
                          </a:path>
                        </a:pathLst>
                      </a:custGeom>
                      <a:solidFill>
                        <a:srgbClr val="FFFFFF"/>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127000</wp:posOffset>
              </wp:positionH>
              <wp:positionV relativeFrom="paragraph">
                <wp:posOffset>25400</wp:posOffset>
              </wp:positionV>
              <wp:extent cx="5144770" cy="280035"/>
              <wp:effectExtent b="0" l="0" r="0" t="0"/>
              <wp:wrapNone/>
              <wp:docPr id="1689161924"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5144770" cy="280035"/>
                      </a:xfrm>
                      <a:prstGeom prst="rect"/>
                      <a:ln/>
                    </pic:spPr>
                  </pic:pic>
                </a:graphicData>
              </a:graphic>
            </wp:anchor>
          </w:drawing>
        </mc:Fallback>
      </mc:AlternateContent>
    </w:r>
    <w:r w:rsidRPr="007E2CAD">
      <w:rPr>
        <w:noProof/>
      </w:rPr>
      <w:drawing>
        <wp:anchor distT="0" distB="0" distL="114300" distR="114300" simplePos="0" relativeHeight="251662336" behindDoc="0" locked="0" layoutInCell="1" hidden="0" allowOverlap="1" wp14:anchorId="3E549177" wp14:editId="27C13EEF">
          <wp:simplePos x="0" y="0"/>
          <wp:positionH relativeFrom="column">
            <wp:posOffset>2061845</wp:posOffset>
          </wp:positionH>
          <wp:positionV relativeFrom="paragraph">
            <wp:posOffset>-1438274</wp:posOffset>
          </wp:positionV>
          <wp:extent cx="1285875" cy="923925"/>
          <wp:effectExtent l="0" t="0" r="0" b="0"/>
          <wp:wrapNone/>
          <wp:docPr id="19786422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285875" cy="92392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A1B89" w14:textId="77777777" w:rsidR="00A90BF2" w:rsidRPr="007E2CAD" w:rsidRDefault="00A90BF2">
      <w:r w:rsidRPr="007E2CAD">
        <w:separator/>
      </w:r>
    </w:p>
  </w:footnote>
  <w:footnote w:type="continuationSeparator" w:id="0">
    <w:p w14:paraId="0E854F96" w14:textId="77777777" w:rsidR="00A90BF2" w:rsidRPr="007E2CAD" w:rsidRDefault="00A90BF2">
      <w:r w:rsidRPr="007E2C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05BBB" w14:textId="77777777" w:rsidR="002C381D" w:rsidRDefault="002C381D" w:rsidP="002C381D">
    <w:pPr>
      <w:pBdr>
        <w:top w:val="nil"/>
        <w:left w:val="nil"/>
        <w:bottom w:val="nil"/>
        <w:right w:val="nil"/>
        <w:between w:val="nil"/>
      </w:pBdr>
      <w:tabs>
        <w:tab w:val="center" w:pos="4252"/>
        <w:tab w:val="right" w:pos="8504"/>
      </w:tabs>
      <w:rPr>
        <w:color w:val="000000"/>
      </w:rPr>
    </w:pPr>
  </w:p>
  <w:p w14:paraId="1BD9E0EC" w14:textId="23DE0707" w:rsidR="007E2CAD" w:rsidRPr="002C381D" w:rsidRDefault="007E2CAD" w:rsidP="002C381D">
    <w:pPr>
      <w:pBdr>
        <w:top w:val="nil"/>
        <w:left w:val="nil"/>
        <w:bottom w:val="nil"/>
        <w:right w:val="nil"/>
        <w:between w:val="nil"/>
      </w:pBdr>
      <w:tabs>
        <w:tab w:val="center" w:pos="4252"/>
        <w:tab w:val="right" w:pos="8504"/>
      </w:tabs>
      <w:rPr>
        <w:rFonts w:ascii="Arial" w:eastAsia="Arial" w:hAnsi="Arial" w:cs="Arial"/>
        <w:b/>
        <w:color w:val="000000"/>
        <w:sz w:val="10"/>
        <w:szCs w:val="10"/>
      </w:rPr>
    </w:pPr>
    <w:r w:rsidRPr="007E2CAD">
      <w:rPr>
        <w:rFonts w:ascii="Arial" w:eastAsia="Arial" w:hAnsi="Arial" w:cs="Arial"/>
        <w:b/>
        <w:noProof/>
        <w:color w:val="000000" w:themeColor="text1"/>
      </w:rPr>
      <w:drawing>
        <wp:anchor distT="0" distB="0" distL="0" distR="0" simplePos="0" relativeHeight="251658240" behindDoc="1" locked="0" layoutInCell="1" hidden="0" allowOverlap="1" wp14:anchorId="1FDE11A3" wp14:editId="25575110">
          <wp:simplePos x="0" y="0"/>
          <wp:positionH relativeFrom="page">
            <wp:posOffset>1752</wp:posOffset>
          </wp:positionH>
          <wp:positionV relativeFrom="page">
            <wp:posOffset>2700</wp:posOffset>
          </wp:positionV>
          <wp:extent cx="7562849" cy="749854"/>
          <wp:effectExtent l="0" t="0" r="0" b="0"/>
          <wp:wrapNone/>
          <wp:docPr id="17426088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62849" cy="749854"/>
                  </a:xfrm>
                  <a:prstGeom prst="rect">
                    <a:avLst/>
                  </a:prstGeom>
                  <a:ln/>
                </pic:spPr>
              </pic:pic>
            </a:graphicData>
          </a:graphic>
        </wp:anchor>
      </w:drawing>
    </w:r>
  </w:p>
  <w:p w14:paraId="61A9EE74" w14:textId="77777777" w:rsidR="008710BB" w:rsidRPr="007E2CAD" w:rsidRDefault="007E2CAD">
    <w:pPr>
      <w:pBdr>
        <w:top w:val="nil"/>
        <w:left w:val="nil"/>
        <w:bottom w:val="nil"/>
        <w:right w:val="nil"/>
        <w:between w:val="nil"/>
      </w:pBdr>
      <w:tabs>
        <w:tab w:val="center" w:pos="4252"/>
        <w:tab w:val="right" w:pos="8504"/>
      </w:tabs>
      <w:rPr>
        <w:color w:val="000000"/>
      </w:rPr>
    </w:pPr>
    <w:r w:rsidRPr="007E2CAD">
      <w:rPr>
        <w:noProof/>
      </w:rPr>
      <w:drawing>
        <wp:anchor distT="0" distB="0" distL="0" distR="0" simplePos="0" relativeHeight="251659264" behindDoc="1" locked="0" layoutInCell="1" hidden="0" allowOverlap="1" wp14:anchorId="21CDAB28" wp14:editId="6A2BD6ED">
          <wp:simplePos x="0" y="0"/>
          <wp:positionH relativeFrom="column">
            <wp:posOffset>795724</wp:posOffset>
          </wp:positionH>
          <wp:positionV relativeFrom="paragraph">
            <wp:posOffset>1953260</wp:posOffset>
          </wp:positionV>
          <wp:extent cx="3812400" cy="4194000"/>
          <wp:effectExtent l="0" t="0" r="0" b="0"/>
          <wp:wrapNone/>
          <wp:docPr id="163995928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3812400" cy="4194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7BE3"/>
    <w:multiLevelType w:val="multilevel"/>
    <w:tmpl w:val="0D50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83857"/>
    <w:multiLevelType w:val="multilevel"/>
    <w:tmpl w:val="27D6BA72"/>
    <w:lvl w:ilvl="0">
      <w:start w:val="1"/>
      <w:numFmt w:val="decimal"/>
      <w:pStyle w:val="Nivel01"/>
      <w:lvlText w:val="%1."/>
      <w:lvlJc w:val="left"/>
      <w:pPr>
        <w:ind w:left="0" w:firstLine="0"/>
      </w:pPr>
      <w:rPr>
        <w:rFonts w:hint="default"/>
        <w:b/>
        <w:color w:val="auto"/>
      </w:rPr>
    </w:lvl>
    <w:lvl w:ilvl="1">
      <w:start w:val="1"/>
      <w:numFmt w:val="decimal"/>
      <w:pStyle w:val="Nivel2"/>
      <w:lvlText w:val="%1.%2."/>
      <w:lvlJc w:val="left"/>
      <w:pPr>
        <w:ind w:left="340" w:firstLine="0"/>
      </w:pPr>
      <w:rPr>
        <w:rFonts w:hint="default"/>
        <w:sz w:val="20"/>
        <w:szCs w:val="20"/>
      </w:rPr>
    </w:lvl>
    <w:lvl w:ilvl="2">
      <w:start w:val="1"/>
      <w:numFmt w:val="decimal"/>
      <w:pStyle w:val="Nvel3-R"/>
      <w:lvlText w:val="%1.%2.%3."/>
      <w:lvlJc w:val="left"/>
      <w:pPr>
        <w:ind w:left="680" w:firstLine="0"/>
      </w:pPr>
      <w:rPr>
        <w:rFonts w:hint="default"/>
      </w:rPr>
    </w:lvl>
    <w:lvl w:ilvl="3">
      <w:start w:val="1"/>
      <w:numFmt w:val="decimal"/>
      <w:pStyle w:val="Nvel4"/>
      <w:lvlText w:val="%1.%2.%3.%4."/>
      <w:lvlJc w:val="left"/>
      <w:pPr>
        <w:ind w:left="1020" w:firstLine="0"/>
      </w:pPr>
      <w:rPr>
        <w:rFonts w:hint="default"/>
      </w:rPr>
    </w:lvl>
    <w:lvl w:ilvl="4">
      <w:start w:val="1"/>
      <w:numFmt w:val="decimal"/>
      <w:lvlText w:val="%1.%2.%3.%4.%5."/>
      <w:lvlJc w:val="left"/>
      <w:pPr>
        <w:ind w:left="1360" w:firstLine="0"/>
      </w:pPr>
      <w:rPr>
        <w:rFonts w:hint="default"/>
      </w:rPr>
    </w:lvl>
    <w:lvl w:ilvl="5">
      <w:start w:val="1"/>
      <w:numFmt w:val="decimal"/>
      <w:lvlText w:val="%1.%2.%3.%4.%5.%6."/>
      <w:lvlJc w:val="left"/>
      <w:pPr>
        <w:ind w:left="1700" w:firstLine="0"/>
      </w:pPr>
      <w:rPr>
        <w:rFonts w:hint="default"/>
      </w:rPr>
    </w:lvl>
    <w:lvl w:ilvl="6">
      <w:start w:val="1"/>
      <w:numFmt w:val="decimal"/>
      <w:lvlText w:val="%1.%2.%3.%4.%5.%6.%7."/>
      <w:lvlJc w:val="left"/>
      <w:pPr>
        <w:ind w:left="2040" w:firstLine="0"/>
      </w:pPr>
      <w:rPr>
        <w:rFonts w:hint="default"/>
      </w:rPr>
    </w:lvl>
    <w:lvl w:ilvl="7">
      <w:start w:val="1"/>
      <w:numFmt w:val="decimal"/>
      <w:lvlText w:val="%1.%2.%3.%4.%5.%6.%7.%8."/>
      <w:lvlJc w:val="left"/>
      <w:pPr>
        <w:ind w:left="2380" w:firstLine="0"/>
      </w:pPr>
      <w:rPr>
        <w:rFonts w:hint="default"/>
      </w:rPr>
    </w:lvl>
    <w:lvl w:ilvl="8">
      <w:start w:val="1"/>
      <w:numFmt w:val="decimal"/>
      <w:lvlText w:val="%1.%2.%3.%4.%5.%6.%7.%8.%9."/>
      <w:lvlJc w:val="left"/>
      <w:pPr>
        <w:ind w:left="2720" w:firstLine="0"/>
      </w:pPr>
      <w:rPr>
        <w:rFonts w:hint="default"/>
      </w:rPr>
    </w:lvl>
  </w:abstractNum>
  <w:abstractNum w:abstractNumId="2" w15:restartNumberingAfterBreak="0">
    <w:nsid w:val="1D075C8E"/>
    <w:multiLevelType w:val="multilevel"/>
    <w:tmpl w:val="0D1C6D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E1A27"/>
    <w:multiLevelType w:val="multilevel"/>
    <w:tmpl w:val="1B88789A"/>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pStyle w:val="Nvel2-Opcional"/>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abstractNum w:abstractNumId="4" w15:restartNumberingAfterBreak="0">
    <w:nsid w:val="35C210BF"/>
    <w:multiLevelType w:val="multilevel"/>
    <w:tmpl w:val="517ED3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AA7666"/>
    <w:multiLevelType w:val="multilevel"/>
    <w:tmpl w:val="D0BA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B363AC"/>
    <w:multiLevelType w:val="multilevel"/>
    <w:tmpl w:val="BDC48002"/>
    <w:lvl w:ilvl="0">
      <w:start w:val="1"/>
      <w:numFmt w:val="decimal"/>
      <w:lvlText w:val="%1."/>
      <w:lvlJc w:val="left"/>
      <w:pPr>
        <w:ind w:left="720" w:hanging="360"/>
      </w:pPr>
      <w:rPr>
        <w:b/>
        <w:bCs/>
        <w:sz w:val="20"/>
        <w:szCs w:val="20"/>
      </w:rPr>
    </w:lvl>
    <w:lvl w:ilvl="1">
      <w:start w:val="1"/>
      <w:numFmt w:val="decimal"/>
      <w:pStyle w:val="Nvel02"/>
      <w:isLgl/>
      <w:lvlText w:val="%1.%2"/>
      <w:lvlJc w:val="left"/>
      <w:pPr>
        <w:ind w:left="720" w:hanging="360"/>
      </w:pPr>
      <w:rPr>
        <w:rFonts w:hint="default"/>
        <w:b w:val="0"/>
        <w:bCs/>
        <w:color w:val="000000" w:themeColor="text1"/>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7556F0C"/>
    <w:multiLevelType w:val="multilevel"/>
    <w:tmpl w:val="F4201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331335"/>
    <w:multiLevelType w:val="hybridMultilevel"/>
    <w:tmpl w:val="031480B4"/>
    <w:lvl w:ilvl="0" w:tplc="1B8C4246">
      <w:start w:val="1"/>
      <w:numFmt w:val="lowerLetter"/>
      <w:lvlText w:val="%1)"/>
      <w:lvlJc w:val="left"/>
      <w:pPr>
        <w:ind w:left="402" w:hanging="260"/>
      </w:pPr>
      <w:rPr>
        <w:rFonts w:ascii="Times New Roman" w:eastAsia="Times New Roman" w:hAnsi="Times New Roman" w:cs="Times New Roman" w:hint="default"/>
        <w:b/>
        <w:bCs/>
        <w:i w:val="0"/>
        <w:iCs w:val="0"/>
        <w:spacing w:val="0"/>
        <w:w w:val="100"/>
        <w:sz w:val="24"/>
        <w:szCs w:val="24"/>
        <w:lang w:val="pt-PT" w:eastAsia="en-US" w:bidi="ar-SA"/>
      </w:rPr>
    </w:lvl>
    <w:lvl w:ilvl="1" w:tplc="07A6A81A">
      <w:numFmt w:val="bullet"/>
      <w:lvlText w:val="•"/>
      <w:lvlJc w:val="left"/>
      <w:pPr>
        <w:ind w:left="1395" w:hanging="260"/>
      </w:pPr>
      <w:rPr>
        <w:rFonts w:hint="default"/>
        <w:lang w:val="pt-PT" w:eastAsia="en-US" w:bidi="ar-SA"/>
      </w:rPr>
    </w:lvl>
    <w:lvl w:ilvl="2" w:tplc="952C58DC">
      <w:numFmt w:val="bullet"/>
      <w:lvlText w:val="•"/>
      <w:lvlJc w:val="left"/>
      <w:pPr>
        <w:ind w:left="2390" w:hanging="260"/>
      </w:pPr>
      <w:rPr>
        <w:rFonts w:hint="default"/>
        <w:lang w:val="pt-PT" w:eastAsia="en-US" w:bidi="ar-SA"/>
      </w:rPr>
    </w:lvl>
    <w:lvl w:ilvl="3" w:tplc="4B0A308A">
      <w:numFmt w:val="bullet"/>
      <w:lvlText w:val="•"/>
      <w:lvlJc w:val="left"/>
      <w:pPr>
        <w:ind w:left="3385" w:hanging="260"/>
      </w:pPr>
      <w:rPr>
        <w:rFonts w:hint="default"/>
        <w:lang w:val="pt-PT" w:eastAsia="en-US" w:bidi="ar-SA"/>
      </w:rPr>
    </w:lvl>
    <w:lvl w:ilvl="4" w:tplc="71227F66">
      <w:numFmt w:val="bullet"/>
      <w:lvlText w:val="•"/>
      <w:lvlJc w:val="left"/>
      <w:pPr>
        <w:ind w:left="4380" w:hanging="260"/>
      </w:pPr>
      <w:rPr>
        <w:rFonts w:hint="default"/>
        <w:lang w:val="pt-PT" w:eastAsia="en-US" w:bidi="ar-SA"/>
      </w:rPr>
    </w:lvl>
    <w:lvl w:ilvl="5" w:tplc="ECC26E74">
      <w:numFmt w:val="bullet"/>
      <w:lvlText w:val="•"/>
      <w:lvlJc w:val="left"/>
      <w:pPr>
        <w:ind w:left="5376" w:hanging="260"/>
      </w:pPr>
      <w:rPr>
        <w:rFonts w:hint="default"/>
        <w:lang w:val="pt-PT" w:eastAsia="en-US" w:bidi="ar-SA"/>
      </w:rPr>
    </w:lvl>
    <w:lvl w:ilvl="6" w:tplc="E0D86CBC">
      <w:numFmt w:val="bullet"/>
      <w:lvlText w:val="•"/>
      <w:lvlJc w:val="left"/>
      <w:pPr>
        <w:ind w:left="6371" w:hanging="260"/>
      </w:pPr>
      <w:rPr>
        <w:rFonts w:hint="default"/>
        <w:lang w:val="pt-PT" w:eastAsia="en-US" w:bidi="ar-SA"/>
      </w:rPr>
    </w:lvl>
    <w:lvl w:ilvl="7" w:tplc="E822E6AC">
      <w:numFmt w:val="bullet"/>
      <w:lvlText w:val="•"/>
      <w:lvlJc w:val="left"/>
      <w:pPr>
        <w:ind w:left="7366" w:hanging="260"/>
      </w:pPr>
      <w:rPr>
        <w:rFonts w:hint="default"/>
        <w:lang w:val="pt-PT" w:eastAsia="en-US" w:bidi="ar-SA"/>
      </w:rPr>
    </w:lvl>
    <w:lvl w:ilvl="8" w:tplc="F340A358">
      <w:numFmt w:val="bullet"/>
      <w:lvlText w:val="•"/>
      <w:lvlJc w:val="left"/>
      <w:pPr>
        <w:ind w:left="8361" w:hanging="260"/>
      </w:pPr>
      <w:rPr>
        <w:rFonts w:hint="default"/>
        <w:lang w:val="pt-PT" w:eastAsia="en-US" w:bidi="ar-SA"/>
      </w:rPr>
    </w:lvl>
  </w:abstractNum>
  <w:num w:numId="1" w16cid:durableId="391923816">
    <w:abstractNumId w:val="3"/>
  </w:num>
  <w:num w:numId="2" w16cid:durableId="1867449479">
    <w:abstractNumId w:val="6"/>
  </w:num>
  <w:num w:numId="3" w16cid:durableId="1591499227">
    <w:abstractNumId w:val="8"/>
  </w:num>
  <w:num w:numId="4" w16cid:durableId="1712725964">
    <w:abstractNumId w:val="5"/>
  </w:num>
  <w:num w:numId="5" w16cid:durableId="1341081881">
    <w:abstractNumId w:val="0"/>
  </w:num>
  <w:num w:numId="6" w16cid:durableId="705445779">
    <w:abstractNumId w:val="2"/>
  </w:num>
  <w:num w:numId="7" w16cid:durableId="1973049252">
    <w:abstractNumId w:val="4"/>
  </w:num>
  <w:num w:numId="8" w16cid:durableId="1098911508">
    <w:abstractNumId w:val="7"/>
  </w:num>
  <w:num w:numId="9" w16cid:durableId="771781239">
    <w:abstractNumId w:val="1"/>
  </w:num>
  <w:num w:numId="10" w16cid:durableId="2008438481">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BB"/>
    <w:rsid w:val="0004194F"/>
    <w:rsid w:val="00067098"/>
    <w:rsid w:val="000F5652"/>
    <w:rsid w:val="00243DCA"/>
    <w:rsid w:val="002C381D"/>
    <w:rsid w:val="00307296"/>
    <w:rsid w:val="00355BA7"/>
    <w:rsid w:val="00363B10"/>
    <w:rsid w:val="003B7314"/>
    <w:rsid w:val="00401915"/>
    <w:rsid w:val="004B6F49"/>
    <w:rsid w:val="004C3F54"/>
    <w:rsid w:val="004F6FCB"/>
    <w:rsid w:val="005174A4"/>
    <w:rsid w:val="005C3F2C"/>
    <w:rsid w:val="006E6D4E"/>
    <w:rsid w:val="00734070"/>
    <w:rsid w:val="007C703B"/>
    <w:rsid w:val="007E2CAD"/>
    <w:rsid w:val="007F079C"/>
    <w:rsid w:val="0081532D"/>
    <w:rsid w:val="008365FA"/>
    <w:rsid w:val="008710BB"/>
    <w:rsid w:val="009B3A55"/>
    <w:rsid w:val="009E4762"/>
    <w:rsid w:val="00A90BF2"/>
    <w:rsid w:val="00AB25CC"/>
    <w:rsid w:val="00AE0F1A"/>
    <w:rsid w:val="00AE17CF"/>
    <w:rsid w:val="00AE7E9B"/>
    <w:rsid w:val="00B3780A"/>
    <w:rsid w:val="00B405AD"/>
    <w:rsid w:val="00BA610C"/>
    <w:rsid w:val="00BD48F5"/>
    <w:rsid w:val="00C7421B"/>
    <w:rsid w:val="00CF665A"/>
    <w:rsid w:val="00D43EB6"/>
    <w:rsid w:val="00E3247A"/>
    <w:rsid w:val="00E86CF3"/>
    <w:rsid w:val="00EC45FF"/>
    <w:rsid w:val="00F51E08"/>
    <w:rsid w:val="00F57C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4C79B"/>
  <w15:docId w15:val="{2C80031D-59D1-4FD0-A193-1BE4726B1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character" w:styleId="Refdecomentrio">
    <w:name w:val="annotation reference"/>
    <w:basedOn w:val="Fontepargpadro"/>
    <w:uiPriority w:val="99"/>
    <w:semiHidden/>
    <w:unhideWhenUsed/>
    <w:rsid w:val="002A17A2"/>
    <w:rPr>
      <w:sz w:val="16"/>
      <w:szCs w:val="16"/>
    </w:rPr>
  </w:style>
  <w:style w:type="paragraph" w:styleId="Textodecomentrio">
    <w:name w:val="annotation text"/>
    <w:basedOn w:val="Normal"/>
    <w:link w:val="TextodecomentrioChar"/>
    <w:uiPriority w:val="99"/>
    <w:semiHidden/>
    <w:unhideWhenUsed/>
    <w:rsid w:val="002A17A2"/>
    <w:rPr>
      <w:sz w:val="20"/>
      <w:szCs w:val="20"/>
    </w:rPr>
  </w:style>
  <w:style w:type="character" w:customStyle="1" w:styleId="TextodecomentrioChar">
    <w:name w:val="Texto de comentário Char"/>
    <w:basedOn w:val="Fontepargpadro"/>
    <w:link w:val="Textodecomentrio"/>
    <w:uiPriority w:val="99"/>
    <w:semiHidden/>
    <w:rsid w:val="002A17A2"/>
    <w:rPr>
      <w:sz w:val="20"/>
      <w:szCs w:val="20"/>
    </w:rPr>
  </w:style>
  <w:style w:type="paragraph" w:styleId="Assuntodocomentrio">
    <w:name w:val="annotation subject"/>
    <w:basedOn w:val="Textodecomentrio"/>
    <w:next w:val="Textodecomentrio"/>
    <w:link w:val="AssuntodocomentrioChar"/>
    <w:uiPriority w:val="99"/>
    <w:semiHidden/>
    <w:unhideWhenUsed/>
    <w:rsid w:val="002A17A2"/>
    <w:rPr>
      <w:b/>
      <w:bCs/>
    </w:rPr>
  </w:style>
  <w:style w:type="character" w:customStyle="1" w:styleId="AssuntodocomentrioChar">
    <w:name w:val="Assunto do comentário Char"/>
    <w:basedOn w:val="TextodecomentrioChar"/>
    <w:link w:val="Assuntodocomentrio"/>
    <w:uiPriority w:val="99"/>
    <w:semiHidden/>
    <w:rsid w:val="002A17A2"/>
    <w:rPr>
      <w:b/>
      <w:bCs/>
      <w:sz w:val="20"/>
      <w:szCs w:val="20"/>
    </w:rPr>
  </w:style>
  <w:style w:type="paragraph" w:styleId="Cabealho">
    <w:name w:val="header"/>
    <w:basedOn w:val="Normal"/>
    <w:link w:val="CabealhoChar"/>
    <w:unhideWhenUsed/>
    <w:rsid w:val="002A17A2"/>
    <w:pPr>
      <w:tabs>
        <w:tab w:val="center" w:pos="4252"/>
        <w:tab w:val="right" w:pos="8504"/>
      </w:tabs>
    </w:pPr>
  </w:style>
  <w:style w:type="character" w:customStyle="1" w:styleId="CabealhoChar">
    <w:name w:val="Cabeçalho Char"/>
    <w:basedOn w:val="Fontepargpadro"/>
    <w:link w:val="Cabealho"/>
    <w:rsid w:val="002A17A2"/>
  </w:style>
  <w:style w:type="paragraph" w:styleId="Rodap">
    <w:name w:val="footer"/>
    <w:basedOn w:val="Normal"/>
    <w:link w:val="RodapChar"/>
    <w:uiPriority w:val="99"/>
    <w:unhideWhenUsed/>
    <w:rsid w:val="002A17A2"/>
    <w:pPr>
      <w:tabs>
        <w:tab w:val="center" w:pos="4252"/>
        <w:tab w:val="right" w:pos="8504"/>
      </w:tabs>
    </w:pPr>
  </w:style>
  <w:style w:type="character" w:customStyle="1" w:styleId="RodapChar">
    <w:name w:val="Rodapé Char"/>
    <w:basedOn w:val="Fontepargpadro"/>
    <w:link w:val="Rodap"/>
    <w:uiPriority w:val="99"/>
    <w:rsid w:val="002A17A2"/>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Nvel2-Opcional">
    <w:name w:val="Nível 2-Opcional"/>
    <w:basedOn w:val="Normal"/>
    <w:link w:val="Nvel2-OpcionalChar"/>
    <w:qFormat/>
    <w:rsid w:val="007E2CAD"/>
    <w:pPr>
      <w:widowControl/>
      <w:numPr>
        <w:ilvl w:val="1"/>
        <w:numId w:val="1"/>
      </w:numPr>
      <w:spacing w:before="120" w:after="120" w:line="276" w:lineRule="auto"/>
      <w:ind w:left="0"/>
      <w:jc w:val="both"/>
    </w:pPr>
    <w:rPr>
      <w:rFonts w:ascii="Arial" w:eastAsia="Arial" w:hAnsi="Arial" w:cs="Arial"/>
      <w:i/>
      <w:iCs/>
      <w:color w:val="FF0000"/>
      <w:sz w:val="20"/>
      <w:szCs w:val="20"/>
    </w:rPr>
  </w:style>
  <w:style w:type="character" w:customStyle="1" w:styleId="Nvel2-OpcionalChar">
    <w:name w:val="Nível 2-Opcional Char"/>
    <w:basedOn w:val="Fontepargpadro"/>
    <w:link w:val="Nvel2-Opcional"/>
    <w:rsid w:val="007E2CAD"/>
    <w:rPr>
      <w:rFonts w:ascii="Arial" w:eastAsia="Arial" w:hAnsi="Arial" w:cs="Arial"/>
      <w:i/>
      <w:iCs/>
      <w:color w:val="FF0000"/>
      <w:sz w:val="20"/>
      <w:szCs w:val="20"/>
      <w:lang w:val="pt-BR"/>
    </w:rPr>
  </w:style>
  <w:style w:type="table" w:styleId="Tabelacomgrade">
    <w:name w:val="Table Grid"/>
    <w:basedOn w:val="Tabelanormal"/>
    <w:rsid w:val="007E2CAD"/>
    <w:pPr>
      <w:widowControl/>
    </w:pPr>
    <w:rPr>
      <w:rFonts w:ascii="Times New Roman" w:eastAsiaTheme="minorEastAsia" w:hAnsi="Times New Roman" w:cs="Times New Roman"/>
      <w:sz w:val="20"/>
      <w:szCs w:val="20"/>
      <w:lang w:val="pt-B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
    <w:name w:val="WWNum9"/>
    <w:basedOn w:val="Semlista"/>
    <w:rsid w:val="007E2CAD"/>
    <w:pPr>
      <w:numPr>
        <w:numId w:val="1"/>
      </w:numPr>
    </w:pPr>
  </w:style>
  <w:style w:type="paragraph" w:customStyle="1" w:styleId="Nvel02">
    <w:name w:val="Nível 02"/>
    <w:basedOn w:val="Normal"/>
    <w:link w:val="Nvel02Char"/>
    <w:autoRedefine/>
    <w:qFormat/>
    <w:rsid w:val="007E2CAD"/>
    <w:pPr>
      <w:widowControl/>
      <w:numPr>
        <w:ilvl w:val="1"/>
        <w:numId w:val="2"/>
      </w:numPr>
      <w:spacing w:before="120" w:after="120" w:line="276" w:lineRule="auto"/>
      <w:ind w:left="993" w:hanging="633"/>
      <w:jc w:val="both"/>
    </w:pPr>
    <w:rPr>
      <w:rFonts w:ascii="Arial" w:eastAsia="Arial" w:hAnsi="Arial" w:cs="Arial"/>
      <w:iCs/>
      <w:color w:val="EE0000"/>
      <w:sz w:val="20"/>
      <w:szCs w:val="20"/>
    </w:rPr>
  </w:style>
  <w:style w:type="character" w:customStyle="1" w:styleId="Nvel02Char">
    <w:name w:val="Nível 02 Char"/>
    <w:basedOn w:val="Fontepargpadro"/>
    <w:link w:val="Nvel02"/>
    <w:rsid w:val="007E2CAD"/>
    <w:rPr>
      <w:rFonts w:ascii="Arial" w:eastAsia="Arial" w:hAnsi="Arial" w:cs="Arial"/>
      <w:iCs/>
      <w:color w:val="EE0000"/>
      <w:sz w:val="20"/>
      <w:szCs w:val="20"/>
      <w:lang w:val="pt-BR"/>
    </w:rPr>
  </w:style>
  <w:style w:type="paragraph" w:styleId="Corpodetexto">
    <w:name w:val="Body Text"/>
    <w:basedOn w:val="Normal"/>
    <w:link w:val="CorpodetextoChar"/>
    <w:uiPriority w:val="1"/>
    <w:qFormat/>
    <w:rsid w:val="007E2CAD"/>
    <w:pPr>
      <w:autoSpaceDE w:val="0"/>
      <w:autoSpaceDN w:val="0"/>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7E2CAD"/>
    <w:rPr>
      <w:rFonts w:ascii="Times New Roman" w:eastAsia="Times New Roman" w:hAnsi="Times New Roman" w:cs="Times New Roman"/>
      <w:sz w:val="24"/>
      <w:szCs w:val="24"/>
      <w:lang w:val="pt-PT" w:eastAsia="en-US"/>
    </w:rPr>
  </w:style>
  <w:style w:type="paragraph" w:customStyle="1" w:styleId="Nivel01">
    <w:name w:val="Nivel 01"/>
    <w:basedOn w:val="Ttulo1"/>
    <w:next w:val="Normal"/>
    <w:link w:val="Nivel01Char"/>
    <w:qFormat/>
    <w:rsid w:val="00AE0F1A"/>
    <w:pPr>
      <w:widowControl/>
      <w:numPr>
        <w:numId w:val="9"/>
      </w:numPr>
      <w:tabs>
        <w:tab w:val="left" w:pos="567"/>
      </w:tabs>
      <w:spacing w:before="120" w:line="276" w:lineRule="auto"/>
      <w:jc w:val="both"/>
    </w:pPr>
    <w:rPr>
      <w:rFonts w:ascii="Arial" w:eastAsiaTheme="majorEastAsia" w:hAnsi="Arial" w:cs="Arial"/>
      <w:bCs/>
      <w:sz w:val="20"/>
      <w:szCs w:val="20"/>
      <w:lang w:eastAsia="en-US"/>
    </w:rPr>
  </w:style>
  <w:style w:type="character" w:customStyle="1" w:styleId="Nivel01Char">
    <w:name w:val="Nivel 01 Char"/>
    <w:basedOn w:val="Fontepargpadro"/>
    <w:link w:val="Nivel01"/>
    <w:rsid w:val="00AE0F1A"/>
    <w:rPr>
      <w:rFonts w:ascii="Arial" w:eastAsiaTheme="majorEastAsia" w:hAnsi="Arial" w:cs="Arial"/>
      <w:b/>
      <w:bCs/>
      <w:sz w:val="20"/>
      <w:szCs w:val="20"/>
      <w:lang w:val="pt-BR" w:eastAsia="en-US"/>
    </w:rPr>
  </w:style>
  <w:style w:type="paragraph" w:customStyle="1" w:styleId="Nivel2">
    <w:name w:val="Nivel 2"/>
    <w:basedOn w:val="Normal"/>
    <w:link w:val="Nivel2Char"/>
    <w:qFormat/>
    <w:rsid w:val="00AE0F1A"/>
    <w:pPr>
      <w:widowControl/>
      <w:numPr>
        <w:ilvl w:val="1"/>
        <w:numId w:val="9"/>
      </w:numPr>
      <w:autoSpaceDE w:val="0"/>
      <w:autoSpaceDN w:val="0"/>
      <w:adjustRightInd w:val="0"/>
      <w:spacing w:before="120" w:after="120" w:line="276" w:lineRule="auto"/>
      <w:jc w:val="both"/>
    </w:pPr>
    <w:rPr>
      <w:rFonts w:ascii="Arial" w:eastAsia="Times New Roman" w:hAnsi="Arial" w:cs="Arial"/>
      <w:sz w:val="20"/>
      <w:szCs w:val="20"/>
    </w:rPr>
  </w:style>
  <w:style w:type="character" w:customStyle="1" w:styleId="Nivel2Char">
    <w:name w:val="Nivel 2 Char"/>
    <w:basedOn w:val="Fontepargpadro"/>
    <w:link w:val="Nivel2"/>
    <w:locked/>
    <w:rsid w:val="00AE0F1A"/>
    <w:rPr>
      <w:rFonts w:ascii="Arial" w:eastAsia="Times New Roman" w:hAnsi="Arial" w:cs="Arial"/>
      <w:sz w:val="20"/>
      <w:szCs w:val="20"/>
      <w:lang w:val="pt-BR"/>
    </w:rPr>
  </w:style>
  <w:style w:type="paragraph" w:customStyle="1" w:styleId="Nvel2-Red">
    <w:name w:val="Nível 2 -Red"/>
    <w:basedOn w:val="Nivel2"/>
    <w:link w:val="Nvel2-RedChar"/>
    <w:qFormat/>
    <w:rsid w:val="00AE0F1A"/>
    <w:rPr>
      <w:i/>
      <w:iCs/>
      <w:color w:val="FF0000"/>
    </w:rPr>
  </w:style>
  <w:style w:type="character" w:customStyle="1" w:styleId="Nvel2-RedChar">
    <w:name w:val="Nível 2 -Red Char"/>
    <w:basedOn w:val="Nivel2Char"/>
    <w:link w:val="Nvel2-Red"/>
    <w:rsid w:val="00AE0F1A"/>
    <w:rPr>
      <w:rFonts w:ascii="Arial" w:eastAsia="Times New Roman" w:hAnsi="Arial" w:cs="Arial"/>
      <w:i/>
      <w:iCs/>
      <w:color w:val="FF0000"/>
      <w:sz w:val="20"/>
      <w:szCs w:val="20"/>
      <w:lang w:val="pt-BR"/>
    </w:rPr>
  </w:style>
  <w:style w:type="paragraph" w:customStyle="1" w:styleId="Nvel3-R">
    <w:name w:val="Nível 3-R"/>
    <w:basedOn w:val="Normal"/>
    <w:link w:val="Nvel3-RChar"/>
    <w:qFormat/>
    <w:rsid w:val="00AE0F1A"/>
    <w:pPr>
      <w:widowControl/>
      <w:numPr>
        <w:ilvl w:val="2"/>
        <w:numId w:val="9"/>
      </w:numPr>
      <w:spacing w:before="120" w:after="120" w:line="276" w:lineRule="auto"/>
      <w:jc w:val="both"/>
    </w:pPr>
    <w:rPr>
      <w:rFonts w:ascii="Arial" w:eastAsiaTheme="minorEastAsia" w:hAnsi="Arial" w:cs="Arial"/>
      <w:i/>
      <w:iCs/>
      <w:color w:val="FF0000"/>
      <w:sz w:val="20"/>
      <w:szCs w:val="20"/>
    </w:rPr>
  </w:style>
  <w:style w:type="character" w:customStyle="1" w:styleId="Nvel3-RChar">
    <w:name w:val="Nível 3-R Char"/>
    <w:basedOn w:val="Fontepargpadro"/>
    <w:link w:val="Nvel3-R"/>
    <w:rsid w:val="00AE0F1A"/>
    <w:rPr>
      <w:rFonts w:ascii="Arial" w:eastAsiaTheme="minorEastAsia" w:hAnsi="Arial" w:cs="Arial"/>
      <w:i/>
      <w:iCs/>
      <w:color w:val="FF0000"/>
      <w:sz w:val="20"/>
      <w:szCs w:val="20"/>
      <w:lang w:val="pt-BR"/>
    </w:rPr>
  </w:style>
  <w:style w:type="paragraph" w:customStyle="1" w:styleId="Nvel3">
    <w:name w:val="Nível 3"/>
    <w:basedOn w:val="Nvel3-R"/>
    <w:link w:val="Nvel3Char"/>
    <w:qFormat/>
    <w:rsid w:val="00AE0F1A"/>
    <w:rPr>
      <w:i w:val="0"/>
      <w:iCs w:val="0"/>
    </w:rPr>
  </w:style>
  <w:style w:type="paragraph" w:customStyle="1" w:styleId="Nvel4">
    <w:name w:val="Nível 4"/>
    <w:basedOn w:val="Nvel3"/>
    <w:link w:val="Nvel4Char"/>
    <w:qFormat/>
    <w:rsid w:val="00AE0F1A"/>
    <w:pPr>
      <w:numPr>
        <w:ilvl w:val="3"/>
      </w:numPr>
    </w:pPr>
  </w:style>
  <w:style w:type="character" w:customStyle="1" w:styleId="Nvel3Char">
    <w:name w:val="Nível 3 Char"/>
    <w:basedOn w:val="Nvel3-RChar"/>
    <w:link w:val="Nvel3"/>
    <w:rsid w:val="00AE0F1A"/>
    <w:rPr>
      <w:rFonts w:ascii="Arial" w:eastAsiaTheme="minorEastAsia" w:hAnsi="Arial" w:cs="Arial"/>
      <w:i w:val="0"/>
      <w:iCs w:val="0"/>
      <w:color w:val="FF0000"/>
      <w:sz w:val="20"/>
      <w:szCs w:val="20"/>
      <w:lang w:val="pt-BR"/>
    </w:rPr>
  </w:style>
  <w:style w:type="character" w:customStyle="1" w:styleId="Nvel4Char">
    <w:name w:val="Nível 4 Char"/>
    <w:basedOn w:val="Nvel3Char"/>
    <w:link w:val="Nvel4"/>
    <w:rsid w:val="00AE0F1A"/>
    <w:rPr>
      <w:rFonts w:ascii="Arial" w:eastAsiaTheme="minorEastAsia" w:hAnsi="Arial" w:cs="Arial"/>
      <w:i w:val="0"/>
      <w:iCs w:val="0"/>
      <w:color w:val="FF0000"/>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271273">
      <w:bodyDiv w:val="1"/>
      <w:marLeft w:val="0"/>
      <w:marRight w:val="0"/>
      <w:marTop w:val="0"/>
      <w:marBottom w:val="0"/>
      <w:divBdr>
        <w:top w:val="none" w:sz="0" w:space="0" w:color="auto"/>
        <w:left w:val="none" w:sz="0" w:space="0" w:color="auto"/>
        <w:bottom w:val="none" w:sz="0" w:space="0" w:color="auto"/>
        <w:right w:val="none" w:sz="0" w:space="0" w:color="auto"/>
      </w:divBdr>
    </w:div>
    <w:div w:id="1173912733">
      <w:bodyDiv w:val="1"/>
      <w:marLeft w:val="0"/>
      <w:marRight w:val="0"/>
      <w:marTop w:val="0"/>
      <w:marBottom w:val="0"/>
      <w:divBdr>
        <w:top w:val="none" w:sz="0" w:space="0" w:color="auto"/>
        <w:left w:val="none" w:sz="0" w:space="0" w:color="auto"/>
        <w:bottom w:val="none" w:sz="0" w:space="0" w:color="auto"/>
        <w:right w:val="none" w:sz="0" w:space="0" w:color="auto"/>
      </w:divBdr>
    </w:div>
    <w:div w:id="1230269763">
      <w:bodyDiv w:val="1"/>
      <w:marLeft w:val="0"/>
      <w:marRight w:val="0"/>
      <w:marTop w:val="0"/>
      <w:marBottom w:val="0"/>
      <w:divBdr>
        <w:top w:val="none" w:sz="0" w:space="0" w:color="auto"/>
        <w:left w:val="none" w:sz="0" w:space="0" w:color="auto"/>
        <w:bottom w:val="none" w:sz="0" w:space="0" w:color="auto"/>
        <w:right w:val="none" w:sz="0" w:space="0" w:color="auto"/>
      </w:divBdr>
    </w:div>
    <w:div w:id="1983194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7.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JCJkLRqwLsBMP6dIBt6eL3OEBQ==">CgMxLjA4AGomChRzdWdnZXN0LmtuYWR4YWloNGpjbBIOTGVpZGllbCBNb3JhaXNqJgoUc3VnZ2VzdC44MGp4djFqZG0wZHoSDkxlaWRpZWwgTW9yYWlzaiYKFHN1Z2dlc3QuZzBiNWY4cXEwajFyEg5MZWlkaWVsIE1vcmFpc3IhMXdnOG1wT0lJY2Nrby1Xdy1aR0drdl9hUGRUV2xJaFNM</go:docsCustomData>
</go:gDocsCustomXmlDataStorage>
</file>

<file path=customXml/itemProps1.xml><?xml version="1.0" encoding="utf-8"?>
<ds:datastoreItem xmlns:ds="http://schemas.openxmlformats.org/officeDocument/2006/customXml" ds:itemID="{9242EEFC-7855-4E46-9285-29BEC8AB8F2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Pages>
  <Words>3098</Words>
  <Characters>16733</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Prefeitura Municipal de Sapucaia do Sul</dc:creator>
  <cp:lastModifiedBy>Gabriel Petry</cp:lastModifiedBy>
  <cp:revision>6</cp:revision>
  <dcterms:created xsi:type="dcterms:W3CDTF">2026-07-03T21:05:00Z</dcterms:created>
  <dcterms:modified xsi:type="dcterms:W3CDTF">2026-07-06T19:42:00Z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Canva</vt:lpwstr>
  </property>
  <property fmtid="{D5CDD505-2E9C-101B-9397-08002B2CF9AE}" pid="4" name="LastSaved">
    <vt:filetime>2025-05-21T00:00:00Z</vt:filetime>
  </property>
  <property fmtid="{D5CDD505-2E9C-101B-9397-08002B2CF9AE}" pid="5" name="Producer">
    <vt:lpwstr>Canva</vt:lpwstr>
  </property>
</Properties>
</file>